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87R11450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study of school district property values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In conducting the study, the comptroller shall determine the taxable value of property in each school district:</w:t>
      </w:r>
    </w:p>
    <w:p w:rsidR="003F3435" w:rsidRDefault="0032493E">
      <w:pPr>
        <w:spacing w:line="480" w:lineRule="auto"/>
        <w:ind w:firstLine="1440"/>
        <w:jc w:val="both"/>
      </w:pPr>
      <w:r>
        <w:t xml:space="preserve">(1)</w:t>
      </w:r>
      <w:r xml:space="preserve">
        <w:t> </w:t>
      </w:r>
      <w:r xml:space="preserve">
        <w:t> </w:t>
      </w:r>
      <w:r>
        <w:t xml:space="preserve">using, if appropriate, samples selected through generally accepted sampling techniques;</w:t>
      </w:r>
    </w:p>
    <w:p w:rsidR="003F3435" w:rsidRDefault="0032493E">
      <w:pPr>
        <w:spacing w:line="480" w:lineRule="auto"/>
        <w:ind w:firstLine="1440"/>
        <w:jc w:val="both"/>
      </w:pPr>
      <w:r>
        <w:t xml:space="preserve">(2)</w:t>
      </w:r>
      <w:r xml:space="preserve">
        <w:t> </w:t>
      </w:r>
      <w:r xml:space="preserve">
        <w:t> </w:t>
      </w:r>
      <w:r>
        <w:t xml:space="preserve">according to generally accepted standard valuation, statistical compilation, and analysis techniques;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ensuring that different levels of appraisal on sold and unsold property do not adversely affect the accuracy of the study; and</w:t>
      </w:r>
    </w:p>
    <w:p w:rsidR="003F3435" w:rsidRDefault="0032493E">
      <w:pPr>
        <w:spacing w:line="480" w:lineRule="auto"/>
        <w:ind w:firstLine="1440"/>
        <w:jc w:val="both"/>
      </w:pPr>
      <w:r>
        <w:t xml:space="preserve">[</w:t>
      </w:r>
      <w:r>
        <w:rPr>
          <w:strike/>
        </w:rPr>
        <w:t xml:space="preserve">(4)</w:t>
      </w:r>
      <w:r>
        <w:t xml:space="preserve">]  ensuring that different levels of appraisal resulting from protests determined under Section 41.43, Tax Code, are appropriately adjusted in the study.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conducting a study to determine the values for a tax year, the comptroller may consider a sale of property only if the sale occurred during the preceding tax year.</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w:t>
      </w:r>
      <w:r>
        <w:rPr>
          <w:u w:val="single"/>
        </w:rPr>
        <w:t xml:space="preserve">has a range, the upper limit of which is 105 percent of the state value and the lower limit of which is 90 percent of the state value,</w:t>
      </w:r>
      <w:r>
        <w:t xml:space="preserve"> [</w:t>
      </w:r>
      <w:r>
        <w:rPr>
          <w:strike/>
        </w:rPr>
        <w:t xml:space="preserve">does not exceed five percent</w:t>
      </w:r>
      <w:r>
        <w:t xml:space="preserve">]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annual study conducted under Section 403.302, Government Code, for a tax year that begins on or after January 1, 2022.  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