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87R6971 MCF-F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alcoholic beverages between certain permitted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24.04(a), Alcoholic Beverage Code, as effective September 1, 2021,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owner of more than one wine only package store may designate one of the permit holder's places of business as a place of storage. The permit holder may transfer alcoholic beverages to and from the place of storage and the permit holder's other stores in the </w:t>
      </w:r>
      <w:r>
        <w:rPr>
          <w:u w:val="single"/>
        </w:rPr>
        <w:t xml:space="preserve">state</w:t>
      </w:r>
      <w:r>
        <w:t xml:space="preserve"> [</w:t>
      </w:r>
      <w:r>
        <w:rPr>
          <w:strike/>
        </w:rPr>
        <w:t xml:space="preserve">same county</w:t>
      </w:r>
      <w:r>
        <w:t xml:space="preserve">], subject to rules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