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87R18714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Cyrier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county subdivision platting requirements for recreational vehicle communities.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232, Local Government Code, is amended by adding Section 232.0016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232.0016.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RECREATIONAL VEHICLE COMMUNITIES.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"Park model recreational vehicle" means a recreational vehicle that is built and certified in accordance with the American National Standards Institute Park Model Recreational Vehicle Standard, commonly cited as "ANSI A119.5."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"Recreational vehicle" means a vehicle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originally designed and manufactured primarily to provide temporary human habitation for recreational, seasonal, or transitional use;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permanently built on a single chassis;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designed to be towed by a motor vehicle or is a motor vehicle.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"Recreational vehicle community" means a plot or tract of land that is separated into two or more spaces: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which water, wastewater, and electric utility services are provided or offered for a fee;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which recreational vehicles, including park model recreational vehicles, may be located for use and occupancy as temporary residences.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recreational vehicle community is not a subdivision of land for the purposes of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