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87R6066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regulate condominiums.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232, Local Government Code, is amended by adding Section 232.0016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232.0016.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CONDOMINIUM REGULATION.  (a) In this section, "condominium" and "declaration" have the meanings assigned by Section 82.003, Property Code.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condominium declaration is not a subdivision of land for the purposes of this chapter.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require: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undivided common interests in a condominium to be subdivided;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division of the designated separate ownership interests in the condominium.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(e), a county may not regulate the internal site development of a tract of land to be declared as a condominium or a platted lot declared as a condominium.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ensure that a plat for a condominium has  adequate public street frontage or utility easements to serve the condominium.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condominium declaration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