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and actions transferred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judicial panel on multidistrict litigation consists of five members designated from time to time by the [</w:t>
      </w:r>
      <w:r>
        <w:rPr>
          <w:strike/>
        </w:rPr>
        <w:t xml:space="preserve">chief justice of the</w:t>
      </w:r>
      <w:r>
        <w:t xml:space="preserve">] supreme court. </w:t>
      </w:r>
      <w:r>
        <w:t xml:space="preserve"> </w:t>
      </w:r>
      <w:r>
        <w:t xml:space="preserve">The members of the panel must be active</w:t>
      </w:r>
      <w:r>
        <w:rPr>
          <w:u w:val="single"/>
        </w:rPr>
        <w:t xml:space="preserve">, former, or retired</w:t>
      </w:r>
      <w:r>
        <w:t xml:space="preserve"> court of appeals justices or </w:t>
      </w:r>
      <w:r>
        <w:rPr>
          <w:u w:val="single"/>
        </w:rPr>
        <w:t xml:space="preserve">active</w:t>
      </w:r>
      <w:r>
        <w:t xml:space="preserve"> administrative judges.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74.1625(a),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judicial panel on multidistrict litigation may not transfer:</w:t>
      </w:r>
    </w:p>
    <w:p w:rsidR="003F3435" w:rsidRDefault="0032493E">
      <w:pPr>
        <w:spacing w:line="480" w:lineRule="auto"/>
        <w:ind w:firstLine="1440"/>
        <w:jc w:val="both"/>
      </w:pPr>
      <w:r>
        <w:t xml:space="preserve">(1)</w:t>
      </w:r>
      <w:r xml:space="preserve">
        <w:t> </w:t>
      </w:r>
      <w:r xml:space="preserve">
        <w:t> </w:t>
      </w:r>
      <w:r>
        <w:t xml:space="preserve">an action brought </w:t>
      </w:r>
      <w:r>
        <w:rPr>
          <w:u w:val="single"/>
        </w:rPr>
        <w:t xml:space="preserve">by the consumer protection division of the attorney general's office</w:t>
      </w:r>
      <w:r>
        <w:t xml:space="preserve"> under Subchapter E, Chapter 17, Business &amp; Commerce Code[</w:t>
      </w:r>
      <w:r>
        <w:rPr>
          <w:strike/>
        </w:rPr>
        <w:t xml:space="preserve">, except an action specifically authorized by Section 17.50 of that code</w:t>
      </w:r>
      <w:r>
        <w:t xml:space="preserve">]; or</w:t>
      </w:r>
    </w:p>
    <w:p w:rsidR="003F3435" w:rsidRDefault="0032493E">
      <w:pPr>
        <w:spacing w:line="480" w:lineRule="auto"/>
        <w:ind w:firstLine="1440"/>
        <w:jc w:val="both"/>
      </w:pPr>
      <w:r>
        <w:t xml:space="preserve">(2)</w:t>
      </w:r>
      <w:r xml:space="preserve">
        <w:t> </w:t>
      </w:r>
      <w:r xml:space="preserve">
        <w:t> </w:t>
      </w:r>
      <w:r>
        <w:t xml:space="preserve">an action brought under Chapter 36,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2950 was passed by the House on May 13, 2021, by the following vote:</w:t>
      </w:r>
      <w:r xml:space="preserve">
        <w:t> </w:t>
      </w:r>
      <w:r xml:space="preserve">
        <w:t> </w:t>
      </w:r>
      <w:r>
        <w:t xml:space="preserve">Yeas 127,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2950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