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Hunter, Dutton,</w:t>
      </w:r>
      <w:r xml:space="preserve">
        <w:tab wTab="150" tlc="none" cTlc="0"/>
      </w:r>
      <w:r>
        <w:t xml:space="preserve">H.B.</w:t>
      </w:r>
      <w:r xml:space="preserve">
        <w:t> </w:t>
      </w:r>
      <w:r>
        <w:t xml:space="preserve">No.</w:t>
      </w:r>
      <w:r xml:space="preserve">
        <w:t> </w:t>
      </w:r>
      <w:r>
        <w:t xml:space="preserve">2954</w:t>
      </w:r>
    </w:p>
    <w:p w:rsidR="003F3435" w:rsidRDefault="0032493E">
      <w:pPr>
        <w:jc w:val="both"/>
      </w:pPr>
      <w:r xml:space="preserve">
        <w:t> </w:t>
      </w:r>
      <w:r xml:space="preserve">
        <w:t> </w:t>
      </w:r>
      <w:r xml:space="preserve">
        <w:t> </w:t>
      </w:r>
      <w:r xml:space="preserve">
        <w:t> </w:t>
      </w:r>
      <w:r xml:space="preserve">
        <w:t> </w:t>
      </w:r>
      <w:r>
        <w:t xml:space="preserve">Coleman, Allen,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suicide prevention, intervention, and postvention program for certain public elementary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38, Education Code, is amended by adding Section 38.3515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38.3515.</w:t>
      </w:r>
      <w:r>
        <w:rPr>
          <w:u w:val="single"/>
        </w:rPr>
        <w:t xml:space="preserve"> </w:t>
      </w:r>
      <w:r>
        <w:rPr>
          <w:u w:val="single"/>
        </w:rPr>
        <w:t xml:space="preserve"> </w:t>
      </w:r>
      <w:r>
        <w:rPr>
          <w:u w:val="single"/>
        </w:rPr>
        <w:t xml:space="preserve">SUICIDE PREVENTION, INTERVENTION, AND POSTVENTION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"Licensed mental health professional"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psychologist licensed to practice in this state and designated as a health-service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registered nurse with a master's or doctoral degree in psychiatric nursing;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licensed clinical social worker, as defined by Section 505.002, Occupations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licensed professional counselor, as defined by Section 503.002, Occupations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licensed marriage and family therapist, as defined by Section 502.002, Occupations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licensed specialist in school psychology, as defined by Section 501.002, Occupations Code;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school counselor certified under Subchapter B, Chapter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"Postvention" includes activities that promote healing necessary to reduce the risk of suicide by a person affected by the suicide of another.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funds are appropriated to the agency for that purpose, the agency, in coordination with the Health and Human Services Commission, shall establish a suicide prevention, intervention, and postvention program for optional implementation at an elementary school campus of a school district or open-enrollment charter school described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is eligible to participate in the program established under this section if the district or school or a campus of the district or school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experienced suicide loss among elementary school students enrolled in the district or school in the 2016-2017 school year or a subsequent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reasonable concern regarding the risk of suicide among elementary school students enrolled in the district or school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students' exposure to traumatic events or experiences, including the loss of an educator or another student in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increased rates of traumatic stress symptoms, including self-harm or incidents of bullying on a district or school campus.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prioritize for funding purposes school districts or open-enrollment charter schools described by Subsection (c)(1).  A school district or open-enrollment charter school that implements the program may prioritize campuses within the district or school to participate in the program based on the direct impact of student suicides on the campuses.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elementary school campus at which the program is implemented, the school district or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needs-based assessment to identify individual needs of each campus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the Health and Human Services Commission and a district or school that has implemented a comprehensive Suicide Safer Early Intervention and Prevention system, a program through Project AWARE (Advancing Wellness and Resiliency in Education), or another similar primary prevention, intervention, and postvention program to provide school-based suicide prevention best practices for each campus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recommendations for research-based best practices for suicide prevention, intervention, and postvention policies;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informational materials distributed by the district or school are age-appropriate and evidence-based;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suicide prevention, intervention, and postvention support to each campus in the program,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identifying the individual needs of the campus through the assessment conducted under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implementing research-based best practices for suicide prevention, intervention, and postvention by working with licensed mental health professionals, teachers, nurses, administrators, and other staff, as well as law enforcement officers and social workers who regularly interact with students, to prevent suicide among students enrolled at the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school district or open-enrollment charter school that implements the program under this section shall provide written notice to a parent or guardian of each student enrolled at a campus in the program.  The required written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current statewide information on suicide rates;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evidence-based informational materials identifying strategies to recognize the signs and symptoms of possible suicidal ideation that are age-appropriate for children who are four years of age or 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about suicide prevention strategies involving reducing access to lethal means of suicide for a student at risk of suicide;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available school and community resources to support students or community members who may be at risk for suicide;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the right of the student's parent or guardian to decline the student's participation in the program</w:t>
      </w:r>
      <w:r>
        <w:rPr>
          <w:u w:val="single"/>
        </w:rP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addition to the practices and procedures developed by a school district or open-enrollment charter school under Section 38.351(i), a district or school that implements the program shall develop practices and procedures concerning suicide prevention, intervention, and postvention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procedure for providing notice to a parent or guardian of a student regarding a recommendation for early mental health intervention for the student within a reasonable amount of time after the identification of early warning signs of risk for suicide,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declining academic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depression;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anxiety;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isolation;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unexplained changes in sleep or eating habits;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destructive behavior toward self and others;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procedure for providing notice of a student identified as at risk of attempting suicide, including a student who is or may be the victim of or who engages in bullying, to a parent or guardian of the student within a reasonable amount of time after the identification of early warning signs, including the signs listed in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at least one person to act as a liaison officer in the district or school for the purposes of identifying students in need of suicide prevention, intervention, and postvention;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information concerning available counseling alternatives to parents and guardians of district or school students to consider when a student is identified as possibly in need of suicide prevention, intervention, and postvention;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procedures to support the return of a student to regular school attendance following hospitalization or residential treatment for a mental health condition or substance abuse.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practices and procedures developed under Subsection (g) must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student handbook;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improvement plan under Section 11.252.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school district or open-enrollment charter school that implements the program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a regional education service center for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assistance of public and private community-based mental health resources.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accept donations for purposes of this section from sources without a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accept donations for purposes of this section from an anonymous source.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this section is intended to interfere with the rights of parents or guardians and the decision-making regarding the best interest of the child.  Practices and procedures developed in accordance with this section are intended to notify a parent or guardian of a need for suicide prevention, intervention, or postvention so that a parent or guardian may take appropriate action.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Nothing in this section authorizes a school district or open-enrollment charter school employee to recommend prescription medication for a student or to interfere with medical decisions to be made by the student's parent or guardian.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commissioner shall adopt rules to administer this section.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Education Agency is required to implement a provision of this Act only if the legislature appropriates money specifically for that purpose. </w:t>
      </w:r>
      <w:r>
        <w:t xml:space="preserve"> </w:t>
      </w:r>
      <w:r>
        <w:t xml:space="preserve">If the legislature does not appropriate money specifically for that purpose, the Texas Education Agency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