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87R8310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2958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scope of the review of an appraisal district by the comptroller of public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5.102, Tax Code, is amended by amending Subsection (a-2) and adding Subsection (a-3) to read as follows:</w:t>
      </w:r>
    </w:p>
    <w:p w:rsidR="003F3435" w:rsidRDefault="0032493E">
      <w:pPr>
        <w:spacing w:line="480" w:lineRule="auto"/>
        <w:ind w:firstLine="720"/>
        <w:jc w:val="both"/>
      </w:pPr>
      <w:r>
        <w:t xml:space="preserve">(a-2)</w:t>
      </w:r>
      <w:r xml:space="preserve">
        <w:t> </w:t>
      </w:r>
      <w:r xml:space="preserve">
        <w:t> </w:t>
      </w:r>
      <w:r>
        <w:rPr>
          <w:u w:val="single"/>
        </w:rPr>
        <w:t xml:space="preserve">The comptroller shall conduct a limited-scope review in place of the review required by Subsection (a) if, during the most recently conducted review, the comptroller found the appraisal district to be in compliance with generally accepted appraisal standards, procedures, and methodology and did not make any recommendations for improvement.  A limited-scope review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restricted to a review of appraisal district operations;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scored;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be conducted only once every four years.</w:t>
      </w:r>
    </w:p>
    <w:p w:rsidR="003F3435" w:rsidRDefault="0032493E">
      <w:pPr>
        <w:spacing w:line="480" w:lineRule="auto"/>
        <w:ind w:firstLine="720"/>
        <w:jc w:val="both"/>
      </w:pPr>
      <w:r>
        <w:rPr>
          <w:u w:val="single"/>
        </w:rPr>
        <w:t xml:space="preserve">(a-3)</w:t>
      </w:r>
      <w:r xml:space="preserve">
        <w:t> </w:t>
      </w:r>
      <w:r xml:space="preserve">
        <w:t> </w:t>
      </w:r>
      <w:r>
        <w:t xml:space="preserve">After consultation with the </w:t>
      </w:r>
      <w:r>
        <w:rPr>
          <w:u w:val="single"/>
        </w:rPr>
        <w:t xml:space="preserve">property tax administration</w:t>
      </w:r>
      <w:r>
        <w:t xml:space="preserve"> </w:t>
      </w:r>
      <w:r>
        <w:t xml:space="preserve">advisory </w:t>
      </w:r>
      <w:r>
        <w:rPr>
          <w:u w:val="single"/>
        </w:rPr>
        <w:t xml:space="preserve">board</w:t>
      </w:r>
      <w:r>
        <w:t xml:space="preserve"> [</w:t>
      </w:r>
      <w:r>
        <w:rPr>
          <w:strike/>
        </w:rPr>
        <w:t xml:space="preserve">committee created under Section 403.302, Government Code</w:t>
      </w:r>
      <w:r>
        <w:t xml:space="preserve">], the comptroller by rule may establish procedures and standards for conducting and scoring a review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