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87R9603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Cason, White, Schaefer,</w:t>
      </w:r>
      <w:r xml:space="preserve">
        <w:tab wTab="150" tlc="none" cTlc="0"/>
      </w:r>
      <w:r>
        <w:t xml:space="preserve">H.B.</w:t>
      </w:r>
      <w:r xml:space="preserve">
        <w:t> </w:t>
      </w:r>
      <w:r>
        <w:t xml:space="preserve">No.</w:t>
      </w:r>
      <w:r xml:space="preserve">
        <w:t> </w:t>
      </w:r>
      <w:r>
        <w:t xml:space="preserve">2967</w:t>
      </w:r>
    </w:p>
    <w:p w:rsidR="003F3435" w:rsidRDefault="0032493E">
      <w:pPr>
        <w:jc w:val="both"/>
      </w:pPr>
      <w:r xml:space="preserve">
        <w:t> </w:t>
      </w:r>
      <w:r xml:space="preserve">
        <w:t> </w:t>
      </w:r>
      <w:r xml:space="preserve">
        <w:t> </w:t>
      </w:r>
      <w:r xml:space="preserve">
        <w:t> </w:t>
      </w:r>
      <w:r xml:space="preserve">
        <w:t> </w:t>
      </w:r>
      <w:r>
        <w:t xml:space="preserve">Morales of Maverick,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carrying of a handgun in a motor vehicle or watercraft.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shoulder or belt holster; or</w:t>
      </w:r>
    </w:p>
    <w:p w:rsidR="003F3435" w:rsidRDefault="0032493E">
      <w:pPr>
        <w:spacing w:line="480" w:lineRule="auto"/>
        <w:ind w:firstLine="1440"/>
        <w:jc w:val="both"/>
      </w:pPr>
      <w:r>
        <w:t xml:space="preserve">(2)</w:t>
      </w:r>
      <w:r xml:space="preserve">
        <w:t> </w:t>
      </w:r>
      <w:r xml:space="preserve">
        <w:t> </w:t>
      </w:r>
      <w:r>
        <w:t xml:space="preserve">the person [</w:t>
      </w:r>
      <w:r>
        <w:rPr>
          <w:strike/>
        </w:rPr>
        <w:t xml:space="preserve">is</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is</w:t>
      </w:r>
      <w:r>
        <w:t xml:space="preserve"> 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rPr>
          <w:u w:val="single"/>
        </w:rPr>
        <w:t xml:space="preserve">is</w:t>
      </w:r>
      <w:r>
        <w:t xml:space="preserve"> prohibited by law from possessing a firearm; or</w:t>
      </w:r>
    </w:p>
    <w:p w:rsidR="003F3435" w:rsidRDefault="0032493E">
      <w:pPr>
        <w:spacing w:line="480" w:lineRule="auto"/>
        <w:ind w:firstLine="2160"/>
        <w:jc w:val="both"/>
      </w:pPr>
      <w:r>
        <w:t xml:space="preserve">(C)</w:t>
      </w:r>
      <w:r xml:space="preserve">
        <w:t> </w:t>
      </w:r>
      <w:r xml:space="preserve">
        <w:t> </w:t>
      </w:r>
      <w:r>
        <w:rPr>
          <w:u w:val="single"/>
        </w:rPr>
        <w:t xml:space="preserve">has been previously convicted of an offense for which the judgment in the case contains an affirmative finding under Article 42.0197, Code of Criminal Procedure</w:t>
      </w:r>
      <w:r>
        <w:t xml:space="preserve"> [</w:t>
      </w:r>
      <w:r>
        <w:rPr>
          <w:strike/>
        </w:rPr>
        <w:t xml:space="preserve">a member of a criminal street gang, as defined by Section 71.01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