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87R5716 MLH-D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Morales of Harris</w:t>
      </w:r>
      <w:r xml:space="preserve">
        <w:tab wTab="150" tlc="none" cTlc="0"/>
      </w:r>
      <w:r>
        <w:t xml:space="preserve">H.B.</w:t>
      </w:r>
      <w:r xml:space="preserve">
        <w:t> </w:t>
      </w:r>
      <w:r>
        <w:t xml:space="preserve">No.</w:t>
      </w:r>
      <w:r xml:space="preserve">
        <w:t> </w:t>
      </w:r>
      <w:r>
        <w:t xml:space="preserve">2974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required maintenance on heating and air conditioning systems at public school instructional facilities and to the liability of certain facilities handling hazardous substances for damages caused to public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38, Education Code, is amended by adding Section 38.045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38.045.</w:t>
      </w:r>
      <w:r>
        <w:rPr>
          <w:u w:val="single"/>
        </w:rPr>
        <w:t xml:space="preserve"> </w:t>
      </w:r>
      <w:r>
        <w:rPr>
          <w:u w:val="single"/>
        </w:rPr>
        <w:t xml:space="preserve"> </w:t>
      </w:r>
      <w:r>
        <w:rPr>
          <w:u w:val="single"/>
        </w:rPr>
        <w:t xml:space="preserve">MANDATORY MAINTENANCE ON HEATING AND AIR CONDITIONING SYSTEM.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"Health hazard" and "physical hazard" have the meaning assigned by Section 505.004, Health and Safety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"Instructional facility" has the meaning assigned by Section 46.001.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 (c), a school district shall for each instructional facility of the district clean and replace heating and air conditioning system filters in accordance with a schedule recommended by a local fire department, county emergency management authority, or other qualified local authority.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shall replace a heating and air conditioning system filter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notice is issued under Section 505.017, Health and Safety Code, that a health hazard or physical hazard exists not more than two miles from the instructional facility;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local fire department, county emergency management authority, or other qualified local authority recommends that the filter be replaced as a result of a health hazard or physical hazard occurring at a facility subject to Chapter 505, 506, or 507, Health and Safety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501, Health and Safety Code, is amended by adding Section 501.038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501.038.</w:t>
      </w:r>
      <w:r>
        <w:rPr>
          <w:u w:val="single"/>
        </w:rPr>
        <w:t xml:space="preserve"> </w:t>
      </w:r>
      <w:r>
        <w:rPr>
          <w:u w:val="single"/>
        </w:rPr>
        <w:t xml:space="preserve"> </w:t>
      </w:r>
      <w:r>
        <w:rPr>
          <w:u w:val="single"/>
        </w:rPr>
        <w:t xml:space="preserve">LIABILITY.  The owner or operator of a facility subject to Chapter 505, 506, or 507 is liable to a school district or open-enrollment charter school for damages resulting from an explosion, release, or other event caused by the facility.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2974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