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87R6050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duty of an appraisal review board to determine a motion or protest filed by a property owner and the right of the owner to appeal the board's determination.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25.25, Tax Code, is amended by adding Subsection (m-1)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review board shall consider and determine by written order a motion timely filed by a property owner under this section. The property owner may appeal the order under Chapter 42. The appraisal review board may not determine that a property owner has forfeited the right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file the motion;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motion considered and determined by the board, except as provided by Section 25.26.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41.01, Tax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consider and determine by written order as provided by Section 41.47 a protest timely filed under this chapter. The property owner may appeal the order under Chapter 42. The board may not determine that a property owner has forfeited the right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file the protest;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protest considered and determined by the board, except as provided by Section 41.4115.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25.25(m-1), Tax Code, as added by this Act, applies only to a motion to correct an appraisal roll filed under Section 25.25, Tax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41.01(c), Tax Code, as added by this Act, applies only to a protest under Chapter 41, Tax Code, for which a notice of protest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