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87R10973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2991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rolling blackouts.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38, Utilities Code, is amended by adding Section 38.0721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38.0721.</w:t>
      </w:r>
      <w:r>
        <w:rPr>
          <w:u w:val="single"/>
        </w:rPr>
        <w:t xml:space="preserve"> </w:t>
      </w:r>
      <w:r>
        <w:rPr>
          <w:u w:val="single"/>
        </w:rPr>
        <w:t xml:space="preserve"> </w:t>
      </w:r>
      <w:r>
        <w:rPr>
          <w:u w:val="single"/>
        </w:rPr>
        <w:t xml:space="preserve">EXCLUSION OF CERTAIN MEDICAL FACILITIES FROM ROLLING BLACKOUT.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"Assisted living facility" has the meaning assigned by Section 247.002,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"Hospice services" has the meaning assigned by Section 142.001,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"Nursing facility" has the meaning assigned by Section 242.301,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electric utility, municipally owned utility, and electric cooperative to exclude any circuits that provide power to an assisted living facility, a facility that provides hospice services, or a nursing facility from participation in the utility's or cooperative's attempt to shed load in response to a rolling blackout initiated by an independent organization certified under Section 39.151 or another reliability council or power pool in which the utility or cooperative operates.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ROLLING BLACKOUTS.  The commission by rule shall require each electric utility, municipally owned utility, and electric cooperative that is subject to a rolling blackout initiated by an independent organization certified under Section 39.151 or another reliability council or power pool in which the utility or cooperative operates to rotate customer curtailment so that no part of the distribution system is subject to an outage of more than 12 hours in a 24 hour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