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87R9434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Shaw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effective date of voter registration.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13.143(e),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If the 30th day before the date of an election is a Saturday, Sunday, or legal state or national holiday, an application is considered to be timely</w:t>
      </w:r>
      <w:r>
        <w:rPr>
          <w:u w:val="single"/>
        </w:rPr>
        <w:t xml:space="preserve">, and entitles the voter to vote in the election,</w:t>
      </w:r>
      <w:r>
        <w:t xml:space="preserve"> if it is submitted to the registrar on or before the next regular business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