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87R22176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exceptions to municipal plat requirements for certain property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212.0046,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212.0046.</w:t>
      </w:r>
      <w:r xml:space="preserve">
        <w:t> </w:t>
      </w:r>
      <w:r xml:space="preserve">
        <w:t> </w:t>
      </w:r>
      <w:r>
        <w:t xml:space="preserve">EXCEPTION TO PLAT REQUIREMENT: CERTAIN PROPERTY ABUTTING AIRCRAFT RUNWAY.  An owner of a tract of land is not required to prepare a plat if the land: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located wholly within a municipality with a population of </w:t>
      </w:r>
      <w:r>
        <w:rPr>
          <w:u w:val="single"/>
        </w:rPr>
        <w:t xml:space="preserve">65,000</w:t>
      </w:r>
      <w:r>
        <w:t xml:space="preserve"> [</w:t>
      </w:r>
      <w:r>
        <w:rPr>
          <w:strike/>
        </w:rPr>
        <w:t xml:space="preserve">5,000</w:t>
      </w:r>
      <w:r>
        <w:t xml:space="preserve">] or less;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divided into parts larger than 2-1/2 acres;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abuts any part of an aircraft runway.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212, Local Government Code, is amended by adding Section 212.0455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212.0455.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 TO PLAT REQUIREMENT:  MUNICIPAL DETERMINATION.  To determine whether specific developments of tracts of land are required to be platted under this subchapter, a municipality may define and classify the developments.  A municipality need not require platting for every development of a tract of land otherwise within the scope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