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87R16782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3005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annulment of a marriage on the grounds of concealed divorce.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6.109, Family Code, is amended to read as follows:</w:t>
      </w:r>
    </w:p>
    <w:p w:rsidR="003F3435" w:rsidRDefault="0032493E">
      <w:pPr>
        <w:spacing w:line="480" w:lineRule="auto"/>
        <w:ind w:firstLine="720"/>
        <w:jc w:val="both"/>
      </w:pPr>
      <w:r>
        <w:t xml:space="preserve">Sec.</w:t>
      </w:r>
      <w:r xml:space="preserve">
        <w:t> </w:t>
      </w:r>
      <w:r>
        <w:t xml:space="preserve">6.109.</w:t>
      </w:r>
      <w:r xml:space="preserve">
        <w:t> </w:t>
      </w:r>
      <w:r xml:space="preserve">
        <w:t> </w:t>
      </w:r>
      <w:r>
        <w:t xml:space="preserve">CONCEALED DIVORCE.  (a)  The court may grant an annulment of a marriage to a party to the marriage if:</w:t>
      </w:r>
    </w:p>
    <w:p w:rsidR="003F3435" w:rsidRDefault="0032493E">
      <w:pPr>
        <w:spacing w:line="480" w:lineRule="auto"/>
        <w:ind w:firstLine="1440"/>
        <w:jc w:val="both"/>
      </w:pPr>
      <w:r>
        <w:t xml:space="preserve">(1)</w:t>
      </w:r>
      <w:r xml:space="preserve">
        <w:t> </w:t>
      </w:r>
      <w:r xml:space="preserve">
        <w:t> </w:t>
      </w:r>
      <w:r>
        <w:t xml:space="preserve">the other party was divorced from a third party within the 30-day period preceding the date of the marriage ceremony;</w:t>
      </w:r>
    </w:p>
    <w:p w:rsidR="003F3435" w:rsidRDefault="0032493E">
      <w:pPr>
        <w:spacing w:line="480" w:lineRule="auto"/>
        <w:ind w:firstLine="1440"/>
        <w:jc w:val="both"/>
      </w:pPr>
      <w:r>
        <w:t xml:space="preserve">(2)</w:t>
      </w:r>
      <w:r xml:space="preserve">
        <w:t> </w:t>
      </w:r>
      <w:r xml:space="preserve">
        <w:t> </w:t>
      </w:r>
      <w:r>
        <w:t xml:space="preserve">at the time of the marriage ceremony the petitioner did not know, and a reasonably prudent person would not have known, of the divorce; 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since</w:t>
      </w:r>
      <w:r>
        <w:t xml:space="preserve">] the petitioner </w:t>
      </w:r>
      <w:r>
        <w:rPr>
          <w:u w:val="single"/>
        </w:rPr>
        <w:t xml:space="preserve">ceased cohabitation with the other party not more than one year after the petitioner</w:t>
      </w:r>
      <w:r>
        <w:t xml:space="preserve"> discovered or a reasonably prudent person would have discovered the fact of the divorce </w:t>
      </w:r>
      <w:r>
        <w:rPr>
          <w:u w:val="single"/>
        </w:rPr>
        <w:t xml:space="preserve">and</w:t>
      </w:r>
      <w:r>
        <w:t xml:space="preserve"> [</w:t>
      </w:r>
      <w:r>
        <w:rPr>
          <w:strike/>
        </w:rPr>
        <w:t xml:space="preserve">, the petitioner</w:t>
      </w:r>
      <w:r>
        <w:t xml:space="preserve">] has not voluntarily cohabited with the other party </w:t>
      </w:r>
      <w:r>
        <w:rPr>
          <w:u w:val="single"/>
        </w:rPr>
        <w:t xml:space="preserve">since ceasing cohabitation</w:t>
      </w:r>
      <w:r>
        <w:t xml:space="preserve">.</w:t>
      </w:r>
    </w:p>
    <w:p w:rsidR="003F3435" w:rsidRDefault="0032493E">
      <w:pPr>
        <w:spacing w:line="480" w:lineRule="auto"/>
        <w:ind w:firstLine="720"/>
        <w:jc w:val="both"/>
      </w:pPr>
      <w:r>
        <w:t xml:space="preserve">(b)</w:t>
      </w:r>
      <w:r xml:space="preserve">
        <w:t> </w:t>
      </w:r>
      <w:r xml:space="preserve">
        <w:t> </w:t>
      </w:r>
      <w:r>
        <w:t xml:space="preserve">A suit may not be brought under this section after the </w:t>
      </w:r>
      <w:r>
        <w:rPr>
          <w:u w:val="single"/>
        </w:rPr>
        <w:t xml:space="preserve">second</w:t>
      </w:r>
      <w:r>
        <w:t xml:space="preserve"> [</w:t>
      </w:r>
      <w:r>
        <w:rPr>
          <w:strike/>
        </w:rPr>
        <w:t xml:space="preserve">first</w:t>
      </w:r>
      <w:r>
        <w:t xml:space="preserve">] anniversary of the date of the marriage.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suit for dissolution of a marriage that is filed on or after the effective date of this Act.  A suit for dissolution of a marriage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