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Ramos, Wu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child custody evaluations.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107.103, Family Code,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appointing a child custody evaluator in a suit in which a party subject to the child custody evaluation does not speak English as a primary language, the court shall ensure that the child custody evaluator: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able to effectively communicate in the primary language of the party;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assisted by a licensed or certified interpreter.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or certified interpreter assisting a child custody evaluator under Subsection (e)(2) may accompany the evaluator in person or assist through use of audio or video conferencing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require the parties to pay any costs associated with obtaining assistance for a child custody evaluator from a licensed or certified interpreter.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child custody evaluation conducted on or after the effective date of this Act, regardless of whether the suit affecting the parent-child relationship was filed before, on,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