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87R3213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3015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governmental body's response to a request for public information.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552.221, Government Code, is amended by adding Subsections (f) and (g)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governmental body determines it has no information responsive to a request for information, the officer for public information shall notify the requestor in writing not later than the 10th business day after the date the request is received.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governmental body determines the requested information is subject to a previous determination that permits or requires the governmental body to withhold the requested information, the officer for public information shall, not later than the 10th business day after the date the request is received: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requestor in writing that the information is being withheld;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in the notice the specific previous determination the governmental body is relying on to withhold the requested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552.301(b),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governmental body must ask for the attorney general's decision and state the </w:t>
      </w:r>
      <w:r>
        <w:rPr>
          <w:u w:val="single"/>
        </w:rPr>
        <w:t xml:space="preserve">specific</w:t>
      </w:r>
      <w:r>
        <w:t xml:space="preserve"> exceptions that apply within a reasonable time but not later than the 10th business day after the date of receiving the written request.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H, Chapter 552, Government Code, is amended to read as follows:</w:t>
      </w:r>
    </w:p>
    <w:p w:rsidR="003F3435" w:rsidRDefault="0032493E">
      <w:pPr>
        <w:spacing w:line="480" w:lineRule="auto"/>
        <w:jc w:val="center"/>
      </w:pPr>
      <w:r>
        <w:t xml:space="preserve">SUBCHAPTER H. CIVIL ENFORCEMENT</w:t>
      </w:r>
      <w:r>
        <w:rPr>
          <w:u w:val="single"/>
        </w:rPr>
        <w:t xml:space="preserve">; COMPLAINT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H, Chapter 552, Government Code, is amended by adding Section 552.328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552.328.</w:t>
      </w:r>
      <w:r>
        <w:rPr>
          <w:u w:val="single"/>
        </w:rPr>
        <w:t xml:space="preserve"> </w:t>
      </w:r>
      <w:r>
        <w:rPr>
          <w:u w:val="single"/>
        </w:rPr>
        <w:t xml:space="preserve"> </w:t>
      </w:r>
      <w:r>
        <w:rPr>
          <w:u w:val="single"/>
        </w:rPr>
        <w:t xml:space="preserve">FAILURE TO RESPOND TO REQUESTOR.  (a)  If a governmental body fails to respond to a requestor as required by Section 552.221, the requestor may send a written complaint to the attorney general.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complaint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original request for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correspondence received from the governmental body in response to the request.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attorney general determines the governmental body improperly failed to comply with Section 552.221 in connection with a request for which a complaint is made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general shall notify the governmental body in writing and require the governmental body to complete open records training not later than six months after receiving the notification;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governmental body may not assess costs to the requestor for producing information in response to the request;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governmental body seeks to withhold information in response to the request, the governmental body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 an attorney general decision under Section 552.301 not later than the fifth business day after the date the governmental body receives the notification under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release the requested information unless there is a compelling reason to withhold the information.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request for information that is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