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87R10012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3019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campaign contributions made to a candidate for statewide office or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253, Election Code, is amended by adding Section 253.0411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253.0411.</w:t>
      </w:r>
      <w:r>
        <w:rPr>
          <w:u w:val="single"/>
        </w:rPr>
        <w:t xml:space="preserve"> </w:t>
      </w:r>
      <w:r>
        <w:rPr>
          <w:u w:val="single"/>
        </w:rPr>
        <w:t xml:space="preserve"> </w:t>
      </w:r>
      <w:r>
        <w:rPr>
          <w:u w:val="single"/>
        </w:rPr>
        <w:t xml:space="preserve">RESTRICTION ON USE OF CAMPAIGN CONTRIBUTIONS MADE TO CANDIDATES FOR STATE OFFICE.  A campaign contribution made to a candidate for statewide office or the legislature or to a specific-purpose committee supporting or opposing the candidate may not be expended to support or oppose a candidate for an office of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253.0411, Election Code, as added by this Act, applies only to a campaign contribution made on or after the effective date of this Act. A campaign contribution made before the effective date of this Act is governed by the law in effect when the contribution was made and is not aggregated with campaign contributions made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