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87R11877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3020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administrative penalty for a violation of certain reliability standards concerning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15.023, Utilities Code, is amended by amending Subsections (b), (c),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t xml:space="preserve">[</w:t>
      </w:r>
      <w:r>
        <w:rPr>
          <w:strike/>
        </w:rPr>
        <w:t xml:space="preserve">The</w:t>
      </w:r>
      <w:r>
        <w:t xml:space="preserve">] penalty for a violation may be in an amount not to exceed $25,000.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penalty for a violation of a reliability standard adopted by the independent organization certified under Section 39.151 or of a commission rule relating to reliability in the wholesale electric market may be in an amount not to exceed $100,000.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person pays a penalty to a federal authority for a violation of a reliability standard that is the same or substantially the same as a reliability standard adopted by the independent organization certified under Section 39.151: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not assess an administrative penalty for the same instance or circumstance for which the person paid the federal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refund the full amount of an administrative penalty that the commission assessed against the person before the date the person paid the federal penalty, if the commission assessed the penalty for the same instance or circumstance for which the person paid the federal penalty.</w:t>
      </w:r>
    </w:p>
    <w:p w:rsidR="003F3435" w:rsidRDefault="0032493E">
      <w:pPr>
        <w:spacing w:line="480" w:lineRule="auto"/>
        <w:ind w:firstLine="720"/>
        <w:jc w:val="both"/>
      </w:pPr>
      <w:r>
        <w:t xml:space="preserve">(c)</w:t>
      </w:r>
      <w:r xml:space="preserve">
        <w:t> </w:t>
      </w:r>
      <w:r xml:space="preserve">
        <w:t> </w:t>
      </w:r>
      <w:r>
        <w:t xml:space="preserve">The commission by rule shall establish a classification system for violations </w:t>
      </w:r>
      <w:r>
        <w:rPr>
          <w:u w:val="single"/>
        </w:rPr>
        <w:t xml:space="preserve">described by Subsection (b) and a separate classification system for violations described by Subsection (b-1). </w:t>
      </w:r>
      <w:r>
        <w:rPr>
          <w:u w:val="single"/>
        </w:rPr>
        <w:t xml:space="preserve"> </w:t>
      </w:r>
      <w:r>
        <w:rPr>
          <w:u w:val="single"/>
        </w:rPr>
        <w:t xml:space="preserve">Each system must include</w:t>
      </w:r>
      <w:r>
        <w:t xml:space="preserve"> [</w:t>
      </w:r>
      <w:r>
        <w:rPr>
          <w:strike/>
        </w:rPr>
        <w:t xml:space="preserve">that includes</w:t>
      </w:r>
      <w:r>
        <w:t xml:space="preserve">] a range of administrative penalties that may be assessed for each class of violation</w:t>
      </w:r>
      <w:r>
        <w:rPr>
          <w:u w:val="single"/>
        </w:rPr>
        <w:t xml:space="preserve">,</w:t>
      </w:r>
      <w:r>
        <w:t xml:space="preserv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classification system established under Subsection (c) shall provide that a penalty in an amount that exceeds $5,000 may be assessed only if the violation is included in the highest class of violations in the classification system. </w:t>
      </w:r>
      <w:r>
        <w:t xml:space="preserve"> </w:t>
      </w:r>
      <w:r>
        <w:rPr>
          <w:u w:val="single"/>
        </w:rPr>
        <w:t xml:space="preserve">This subsection does not apply to the classification system established under Subsection (c) for a violation described by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15.023, Utilities Code, apply only to a violation that occurs on or after the effective date of this Act.  For purposes of this section, a violation occurs before the effective date of this Act if any element of the violation occurs before that date. </w:t>
      </w:r>
      <w:r>
        <w:t xml:space="preserve"> </w:t>
      </w:r>
      <w:r>
        <w:t xml:space="preserve">A violation that occurs before the effective date of this Act is covered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