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Hemphill, Guillen, 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3023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Birdwell)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Natural Resources &amp; Economic Development;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3023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eligibility of certain events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Formula One </w:t>
      </w:r>
      <w:r>
        <w:rPr>
          <w:u w:val="single"/>
        </w:rPr>
        <w:t xml:space="preserve">United States Grand Prix</w:t>
      </w:r>
      <w:r>
        <w:t xml:space="preserve"> [</w:t>
      </w:r>
      <w:r>
        <w:rPr>
          <w:strike/>
        </w:rPr>
        <w:t xml:space="preserve">automobile race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Hot Rod Association Fall Nationals at the Texas Motorplex;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Professional Bull Riders World Finals;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Professional Golfers' Association (PGA)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Ryder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Senior Professional Golfers' Association (PGA)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(CC)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Women's Professional Golfers'</w:t>
      </w:r>
      <w:r>
        <w:rPr>
          <w:u w:val="single"/>
        </w:rPr>
        <w:t xml:space="preserve"> </w:t>
      </w:r>
      <w:r>
        <w:rPr>
          <w:u w:val="single"/>
        </w:rPr>
        <w:t xml:space="preserve">Association (PGA)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(EE)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(FF)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(GG)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Hot Rod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Professional Bull Riders, LLC;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Professional Golfers' Association of America (PGA) and its wholly owned subsidiaries;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