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3026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10,</w:t>
      </w:r>
      <w:r xml:space="preserve">
        <w:t> </w:t>
      </w:r>
      <w:r>
        <w:t xml:space="preserve">2021, read first time and referred to Committee on Transportation; May</w:t>
      </w:r>
      <w:r xml:space="preserve">
        <w:t> </w:t>
      </w:r>
      <w:r>
        <w:t xml:space="preserve">19,</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and regulation of certain automated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545.452, Transportation Code, is amended to read as follows:</w:t>
      </w:r>
    </w:p>
    <w:p w:rsidR="003F3435" w:rsidRDefault="0032493E">
      <w:pPr>
        <w:spacing w:line="480" w:lineRule="auto"/>
        <w:ind w:firstLine="720"/>
        <w:jc w:val="both"/>
      </w:pPr>
      <w:r>
        <w:t xml:space="preserve">Sec.</w:t>
      </w:r>
      <w:r xml:space="preserve">
        <w:t> </w:t>
      </w:r>
      <w:r>
        <w:t xml:space="preserve">545.452.</w:t>
      </w:r>
      <w:r xml:space="preserve">
        <w:t> </w:t>
      </w:r>
      <w:r xml:space="preserve">
        <w:t> </w:t>
      </w:r>
      <w:r>
        <w:rPr>
          <w:u w:val="single"/>
        </w:rPr>
        <w:t xml:space="preserve">EXCLUSIVE REGULATION OF AUTOMATED MOTOR VEHICLES AND AUTOMATED DRIVING SYSTEMS</w:t>
      </w:r>
      <w:r>
        <w:t xml:space="preserve"> [</w:t>
      </w:r>
      <w:r>
        <w:rPr>
          <w:strike/>
        </w:rPr>
        <w:t xml:space="preserve">SUBCHAPTER AND DEPARTMENT GOVERN EXCLUSIVELY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545.452(a),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Unless otherwise provided by this subchapter, </w:t>
      </w:r>
      <w:r>
        <w:rPr>
          <w:u w:val="single"/>
        </w:rPr>
        <w:t xml:space="preserve">automated motor vehicles, including any commercial use or operation of automated motor vehicles, and automated driving systems</w:t>
      </w:r>
      <w:r>
        <w:t xml:space="preserve"> [</w:t>
      </w:r>
      <w:r>
        <w:rPr>
          <w:strike/>
        </w:rPr>
        <w:t xml:space="preserve">the following</w:t>
      </w:r>
      <w:r>
        <w:t xml:space="preserve">] are governed exclusively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547.618</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automated motor vehicles, including any commercial use or operation of automated motor vehicles;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automated driving systems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K, Chapter 547, Transportation Code, is amended by adding Section 547.618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547.618.</w:t>
      </w:r>
      <w:r>
        <w:rPr>
          <w:u w:val="single"/>
        </w:rPr>
        <w:t xml:space="preserve"> </w:t>
      </w:r>
      <w:r>
        <w:rPr>
          <w:u w:val="single"/>
        </w:rPr>
        <w:t xml:space="preserve"> </w:t>
      </w:r>
      <w:r>
        <w:rPr>
          <w:u w:val="single"/>
        </w:rPr>
        <w:t xml:space="preserve">EQUIPMENT REQUIRED FOR CERTAIN AUTOMATED MOTOR VEHICLES.  (a)  In this section, "automated motor vehicle" and "automated driving system" have the meanings assigned by Section 545.451.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automated motor vehicle that is designed to be operated exclusively by the automated driving system for all trips is not subject to motor vehicle equipment laws or regulations of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 to or support motor vehicle operation by a human driver;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relevant for an automated driving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vehicle safety inspection is required under this code for the operation of a vehicle described by Subsection (b), the vehicle shall automatically be considered to pass the inspection with respect to any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from which the vehicle is exempt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inspection of which is not required under Section 548.051.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