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87R9933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vaccination requirements for health benefit plans or insurance policies provided to business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544, Insurance Code, is amended by adding Subchapter M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M. VACCINATION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544.601.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to the issuer of a health benefit plan that provides benefits for medical or surgical expenses incurred as a result of a health condition, accident, or sickness, including a group, blanket, or franchise insurance policy or insurance agreement, a group hospital service contract, or a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to a life insurance company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issues or delivers a life insurance policy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organized under the laws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to an insurer offering a property and casualty insurance policy to a business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544.602.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VACCINATION REQUIREMENTS PROHIBITED.  An insurer or other issuer offering a health benefit plan, life insurance policy, property and casualty insurance policy, or any other insurance policy written for business entities may not discriminate against an employee without a vaccination by requiring as a condition to purchase or maintain coverage, including an endorsement, that each of the business's employees is vaccinated.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M, Chapter 544, Insurance Code, as added by this Act, applies only to a health benefit plan or insurance policy delivered, issued for delivery, or renewed on or after January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