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87R11596 BRG-D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 notice to customers, governmental entities, and other affected persons after significant interruptions of certain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418.192(a), Government Code, is amended by adding Subdivision (3)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"Significant interruption of service" means an interruption of essential products and services provided by a public service provider that lasts one or more hours and affects the provider's entire system, a major division of the provider's system, a community, a critical load, or service to interruptible customers, and a scheduled interruption lasting more than four hours that affects customers who are not notified in advance. The term includes: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loss of service to 20 percent or more of the provider's customers, or 20,000 customers for a provider serving more than 200,000 customers;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interruptions adversely affecting a community such as interruptions of governmental agencies, military bases, universities and schools, major retail centers, and major employers.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418.192, Government Code, is amended by amending Subsection (b) and adding Subsections (b-1) and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service provider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enter into a contract for an emergency notification system described by this section for use in informing the provider's customers, governmental entities, and other affected persons regarding: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notice of a disaster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emergency</w:t>
      </w:r>
      <w:r>
        <w:rPr>
          <w:u w:val="single"/>
        </w:rPr>
        <w:t xml:space="preserve">, or significant interruption of service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actions a recipient is required to take during a disaster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emergency</w:t>
      </w:r>
      <w:r>
        <w:rPr>
          <w:u w:val="single"/>
        </w:rPr>
        <w:t xml:space="preserve">, or significant interruption of service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emergency notification system for which a contract is entered into under Subsection (b) must provide notice of a significant interruption of service as soon as reasonably possible after the interruption occurs. </w:t>
      </w:r>
      <w:r>
        <w:rPr>
          <w:u w:val="single"/>
        </w:rPr>
        <w:t xml:space="preserve"> </w:t>
      </w:r>
      <w:r>
        <w:rPr>
          <w:u w:val="single"/>
        </w:rPr>
        <w:t xml:space="preserve">The notice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location of the interruption;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cause of the interruption, if known;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and time that the interruption began;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estimated date and time that service will be restored;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telephone number of the public service provider.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duration of a significant interruption of service is longer than 24 hours, the emergency notification system for which a contract is entered into under Subsection (b) must provide an update to the information required under Subsection (b-1) to the public service provider's customers, governmental entities, and other affected persons not less than once every 24 hours that the interruption continues.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418.192(h),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