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87R6829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billing practices by certain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311.0025(a) and (b),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hospital, treatment facility, mental health facility, or health care professional may not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flagrantly overcharge a patient or third party payor for a treatment provided to the patient;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submit to a patient or a third party payor a bill for a treatment that the hospital, facility, or professional knows was not provided or knows was improper, unreasonable, or medically or clinically unnecessary.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appropriate licensing agency receives a complaint alleging a violation of Subsection </w:t>
      </w:r>
      <w:r>
        <w:rPr>
          <w:u w:val="single"/>
        </w:rPr>
        <w:t xml:space="preserve">(a)(2)</w:t>
      </w:r>
      <w:r>
        <w:t xml:space="preserve"> [</w:t>
      </w:r>
      <w:r>
        <w:rPr>
          <w:strike/>
        </w:rPr>
        <w:t xml:space="preserve">(a)</w:t>
      </w:r>
      <w:r>
        <w:t xml:space="preserve">], the agency may audit the billings and patient records of the hospital, treatment facility, mental health facility, or health care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