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87R7660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to report through the Public Education Information Management System the number of students transported from a school district or open-enrollment charter school for a mental health emergency detention.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students, including the students' age, race, and gender, transported from the school district or open-enrollment charter school for an emergency detention under Chapter 573, Health and Safety Code, at any time during the year for which the report is made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