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87R9309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3035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evaluation of family-based safety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40, Human Resources Code, is amended by adding Section 40.05811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40.05811.</w:t>
      </w:r>
      <w:r>
        <w:rPr>
          <w:u w:val="single"/>
        </w:rPr>
        <w:t xml:space="preserve"> </w:t>
      </w:r>
      <w:r>
        <w:rPr>
          <w:u w:val="single"/>
        </w:rPr>
        <w:t xml:space="preserve"> </w:t>
      </w:r>
      <w:r>
        <w:rPr>
          <w:u w:val="single"/>
        </w:rPr>
        <w:t xml:space="preserve">EVALUATION OF FAMILY-BASED SAFETY SERVICES. (a) The department shall evaluate family-based safety services programs to ensure that the services provided through the programs are designed to allow children to safely remain in their homes or to make it possible for children to return to their homes.  The evaluation must examine the process by which the department develops intervention plans for families to ensure that intervention plans are designed to deliver the services that will provide children with a safe environment and reduce the risk of future abuse or neglect.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changes to family-based safety services programs based on the evaluation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evaluate family-based safety services programs under this section every five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