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87R16758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certain notices provided by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89.043(c),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before the date the commission enters into a contract to plug a delinquent inactive well, the commission shall send a notice by certified mail </w:t>
      </w:r>
      <w:r>
        <w:rPr>
          <w:u w:val="single"/>
        </w:rPr>
        <w:t xml:space="preserve">or as an electronic record</w:t>
      </w:r>
      <w:r>
        <w:t xml:space="preserve"> to the operator of the well at the address last reported to the commission as required by Section 91.142 and commission rules. The notice shall direct the operator to plug the well and shall state that:</w:t>
      </w:r>
    </w:p>
    <w:p w:rsidR="003F3435" w:rsidRDefault="0032493E">
      <w:pPr>
        <w:spacing w:line="480" w:lineRule="auto"/>
        <w:ind w:firstLine="1440"/>
        <w:jc w:val="both"/>
      </w:pPr>
      <w:r>
        <w:t xml:space="preserve">(1)</w:t>
      </w:r>
      <w:r xml:space="preserve">
        <w:t> </w:t>
      </w:r>
      <w:r xml:space="preserve">
        <w:t> </w:t>
      </w:r>
      <w:r>
        <w:t xml:space="preserve">the commission may plug the well and foreclose its statutory lien under Section 89.083 unless the operator requests a hearing not later than the 10th day after the date the operator receives the notice;</w:t>
      </w:r>
    </w:p>
    <w:p w:rsidR="003F3435" w:rsidRDefault="0032493E">
      <w:pPr>
        <w:spacing w:line="480" w:lineRule="auto"/>
        <w:ind w:firstLine="1440"/>
        <w:jc w:val="both"/>
      </w:pPr>
      <w:r>
        <w:t xml:space="preserve">(2)</w:t>
      </w:r>
      <w:r xml:space="preserve">
        <w:t> </w:t>
      </w:r>
      <w:r xml:space="preserve">
        <w:t> </w:t>
      </w:r>
      <w:r>
        <w:t xml:space="preserve">if the commission forecloses its statutory lien under Section 89.083, all well-site equipment will be presumed to have been abandoned and the commission may dispose of the equipment and hydrocarbons from the well as provided by Section 89.085;</w:t>
      </w:r>
    </w:p>
    <w:p w:rsidR="003F3435" w:rsidRDefault="0032493E">
      <w:pPr>
        <w:spacing w:line="480" w:lineRule="auto"/>
        <w:ind w:firstLine="1440"/>
        <w:jc w:val="both"/>
      </w:pPr>
      <w:r>
        <w:t xml:space="preserve">(3)</w:t>
      </w:r>
      <w:r xml:space="preserve">
        <w:t> </w:t>
      </w:r>
      <w:r xml:space="preserve">
        <w:t> </w:t>
      </w:r>
      <w:r>
        <w:t xml:space="preserve">if the commission plugs the well, the commission:</w:t>
      </w:r>
    </w:p>
    <w:p w:rsidR="003F3435" w:rsidRDefault="0032493E">
      <w:pPr>
        <w:spacing w:line="480" w:lineRule="auto"/>
        <w:ind w:firstLine="2160"/>
        <w:jc w:val="both"/>
      </w:pPr>
      <w:r>
        <w:t xml:space="preserve">(A)</w:t>
      </w:r>
      <w:r xml:space="preserve">
        <w:t> </w:t>
      </w:r>
      <w:r xml:space="preserve">
        <w:t> </w:t>
      </w:r>
      <w:r>
        <w:t xml:space="preserve">by order may require the operator to reimburse the commission for the plugging costs; or</w:t>
      </w:r>
    </w:p>
    <w:p w:rsidR="003F3435" w:rsidRDefault="0032493E">
      <w:pPr>
        <w:spacing w:line="480" w:lineRule="auto"/>
        <w:ind w:firstLine="2160"/>
        <w:jc w:val="both"/>
      </w:pPr>
      <w:r>
        <w:t xml:space="preserve">(B)</w:t>
      </w:r>
      <w:r xml:space="preserve">
        <w:t> </w:t>
      </w:r>
      <w:r xml:space="preserve">
        <w:t> </w:t>
      </w:r>
      <w:r>
        <w:t xml:space="preserve">may request the attorney general to file suit against the operator to recover those costs;</w:t>
      </w:r>
    </w:p>
    <w:p w:rsidR="003F3435" w:rsidRDefault="0032493E">
      <w:pPr>
        <w:spacing w:line="480" w:lineRule="auto"/>
        <w:ind w:firstLine="1440"/>
        <w:jc w:val="both"/>
      </w:pPr>
      <w:r>
        <w:t xml:space="preserve">(4)</w:t>
      </w:r>
      <w:r xml:space="preserve">
        <w:t> </w:t>
      </w:r>
      <w:r xml:space="preserve">
        <w:t> </w:t>
      </w:r>
      <w:r>
        <w:t xml:space="preserve">the commission has a statutory lien on all well-site equipment under Section 89.083; and</w:t>
      </w:r>
    </w:p>
    <w:p w:rsidR="003F3435" w:rsidRDefault="0032493E">
      <w:pPr>
        <w:spacing w:line="480" w:lineRule="auto"/>
        <w:ind w:firstLine="1440"/>
        <w:jc w:val="both"/>
      </w:pPr>
      <w:r>
        <w:t xml:space="preserve">(5)</w:t>
      </w:r>
      <w:r xml:space="preserve">
        <w:t> </w:t>
      </w:r>
      <w:r xml:space="preserve">
        <w:t> </w:t>
      </w:r>
      <w:r>
        <w:t xml:space="preserve">the lien described by Subdivision (4) is foreclosed by operation of law if the commission does not receive a valid and timely request for a hearing before the 15th day after the date the notice is mailed.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89.085(f), Natural Resources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the 30th day after the date well-site equipment or hydrocarbons are disposed of under this section, the commission shall mail a notice by first class mail </w:t>
      </w:r>
      <w:r>
        <w:rPr>
          <w:u w:val="single"/>
        </w:rPr>
        <w:t xml:space="preserve">or send a notice as an electronic record</w:t>
      </w:r>
      <w:r>
        <w:t xml:space="preserve"> to the operator of the well at the address last reported to the commission as required by Section 91.142 of this code and commission rules and, on request, to any lienholder or nonoperator.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91.704, Natural Resources Code, is amended to read as follows:</w:t>
      </w:r>
    </w:p>
    <w:p w:rsidR="003F3435" w:rsidRDefault="0032493E">
      <w:pPr>
        <w:spacing w:line="480" w:lineRule="auto"/>
        <w:ind w:firstLine="720"/>
        <w:jc w:val="both"/>
      </w:pPr>
      <w:r>
        <w:t xml:space="preserve">Sec.</w:t>
      </w:r>
      <w:r xml:space="preserve">
        <w:t> </w:t>
      </w:r>
      <w:r>
        <w:t xml:space="preserve">91.704.</w:t>
      </w:r>
      <w:r xml:space="preserve">
        <w:t> </w:t>
      </w:r>
      <w:r xml:space="preserve">
        <w:t> </w:t>
      </w:r>
      <w:r>
        <w:t xml:space="preserve">CANCELLATION OF CERTIFICATE.  </w:t>
      </w:r>
      <w:r>
        <w:rPr>
          <w:u w:val="single"/>
        </w:rPr>
        <w:t xml:space="preserve">(a)</w:t>
      </w:r>
      <w:r>
        <w:t xml:space="preserve">  The commission may cancel any certificate of compliance issued under the provisions of this subchapter if it appears that the owner or operator of a well covered by the provisions of the certificate, in the operation of the well or the production of oil or gas from the well, has violated or is violating this title, Section 26.131, Water Code, or Subchapter C, Chapter 27, Water Code, a rule adopted or order issued under that title, section, or subchapter, as applicable, or a license, permit, or certificate issued to the owner or operator under that title, section, or subchapter, as applicable.</w:t>
      </w:r>
    </w:p>
    <w:p w:rsidR="003F3435" w:rsidRDefault="0032493E">
      <w:pPr>
        <w:spacing w:line="480" w:lineRule="auto"/>
        <w:ind w:firstLine="720"/>
        <w:jc w:val="both"/>
      </w:pPr>
      <w:r>
        <w:rPr>
          <w:u w:val="single"/>
        </w:rPr>
        <w:t xml:space="preserve">(b)</w:t>
      </w:r>
      <w:r xml:space="preserve">
        <w:t> </w:t>
      </w:r>
      <w:r xml:space="preserve">
        <w:t> </w:t>
      </w:r>
      <w:r>
        <w:t xml:space="preserve">Before canceling a certificate of compliance, the commission shall give notice to the owner or operator [</w:t>
      </w:r>
      <w:r>
        <w:rPr>
          <w:strike/>
        </w:rPr>
        <w:t xml:space="preserve">by personal service or by registered or certified mail</w:t>
      </w:r>
      <w:r>
        <w:t xml:space="preserve">] of the facts or conduct alleged to warrant the cancellation and shall give the owner or operator an opportunity to show compliance with all requirements of law for retention of the certificate as required by Section 2001.054,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that the notice under Subsection (b)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by personal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by registered or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 as an electronic record.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131.213, Natural Resources Code, is amended to read as follows:</w:t>
      </w:r>
    </w:p>
    <w:p w:rsidR="003F3435" w:rsidRDefault="0032493E">
      <w:pPr>
        <w:spacing w:line="480" w:lineRule="auto"/>
        <w:ind w:firstLine="720"/>
        <w:jc w:val="both"/>
      </w:pPr>
      <w:r>
        <w:t xml:space="preserve">Sec.</w:t>
      </w:r>
      <w:r xml:space="preserve">
        <w:t> </w:t>
      </w:r>
      <w:r>
        <w:t xml:space="preserve">131.213.</w:t>
      </w:r>
      <w:r xml:space="preserve">
        <w:t> </w:t>
      </w:r>
      <w:r xml:space="preserve">
        <w:t> </w:t>
      </w:r>
      <w:r>
        <w:t xml:space="preserve">NOTICE OF RELEASE TO LOCAL GOVERNMENTAL AGENCY.  Within 30 days after an application for total or partial bond or deposit release is filed with the commission, the commission shall notify the local governmental agency in which the surface mining operation is located by certified mail </w:t>
      </w:r>
      <w:r>
        <w:rPr>
          <w:u w:val="single"/>
        </w:rPr>
        <w:t xml:space="preserve">or electronic record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133.048(d),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Any notices required under Subsections (b) and (c) of this section must be [</w:t>
      </w:r>
      <w:r>
        <w:rPr>
          <w:strike/>
        </w:rPr>
        <w:t xml:space="preserve">mailed to the applicant certified mail, postage prepaid, return receipt requested</w:t>
      </w:r>
      <w:r>
        <w:t xml:space="preserve">], not later than the fifth day after the day on which the commission approves or disapproves the application</w:t>
      </w:r>
      <w:r>
        <w:rPr>
          <w:u w:val="single"/>
        </w:rPr>
        <w:t xml:space="preserv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to the applicant by certified mail, postage prepaid, return receipt requested;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as an electronic record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