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87R9018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individuals with a prior diagnosis of COVID-19.</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ind w:firstLine="1440"/>
        <w:jc w:val="both"/>
      </w:pPr>
      <w:r>
        <w:rPr>
          <w:u w:val="single"/>
        </w:rPr>
        <w:t xml:space="preserve">CHAPTER 1511.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DEFINITION.  In this chapter, "prior diagnosis of COVID-19" means a diagnosis of coronavirus disease (COVID-19) or a related symptom or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chapter applies to a health benefit plan under which coverage is contractually limited to fewer than 12 months in duration.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limited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1511.002.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RESTRICTIONS BASED ON PRIOR DIAGNOSIS OF COVID-19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prior diagnosis of COVID-19;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related to the individual's prior diagnosis of COVID-19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prior diagnosis of COVID-19.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