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3055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home address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 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 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 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 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 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 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 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 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 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 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 a current or former employee of the Texas Civil Commitment Office or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 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an employee of or volunteer or contractor for a clinic or facility that provides abortion or family planning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residence address of the applicant, if the applicant is an employee of or volunteer or contractor for a clinic or facility that provides abortion or family planning services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