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87R10575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3056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billboards on cemetery property;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711, Health and Safety Code, is amended by adding Section 711.013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711.013.</w:t>
      </w:r>
      <w:r>
        <w:rPr>
          <w:u w:val="single"/>
        </w:rPr>
        <w:t xml:space="preserve"> </w:t>
      </w:r>
      <w:r>
        <w:rPr>
          <w:u w:val="single"/>
        </w:rPr>
        <w:t xml:space="preserve"> </w:t>
      </w:r>
      <w:r>
        <w:rPr>
          <w:u w:val="single"/>
        </w:rPr>
        <w:t xml:space="preserve">PROHIBITING BILLBOARDS ON CEMETERY PROPERTY.  (a) </w:t>
      </w:r>
      <w:r>
        <w:rPr>
          <w:u w:val="single"/>
        </w:rPr>
        <w:t xml:space="preserve"> </w:t>
      </w:r>
      <w:r>
        <w:rPr>
          <w:u w:val="single"/>
        </w:rPr>
        <w:t xml:space="preserve">In this section, "billboard" means a separate and fixed structure directly attached to the land or a building having one or more spaces used to display an advertisement, whether or not the structure is artificially lighted.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erect or maintain a billboard  on cemetery property.  A cemetery organization may not enter into a contract or lease authorizing a billboard on cemetery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bring an action against a person who appears to be in violation of this section or is threatening to violate this section. In an injunction issued under this section, a court may include reasonable requirements to prevent any further violations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injunctive relief provided by Subsection (c), the attorney general may institute an action for civil penalties against a person for a violation of this section. A civil penalty assessed under this section may not exceed $1,000 for each violation. Each day a violation occurs or continues to occur is a separate violation for purposes of assessing a penalty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recover reasonable expenses incurred in bringing an action under this section, including court costs, attorney's fees, investigative costs, witness fees, and deposition expenses.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shall file an action under this section in Travis County or in the county in which the violation occurred.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civil penalty recovered in an action by the attorney general under this section shall be deposited in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 billboard prohibited by Section 711.013, Health and Safety Code, as added by this Act, that was erected on cemetery property under a contract or lease entered into before the effective date of this Act, must be dismantled or removed from the cemetery on the expiration date of the existing contract or lease between the cemetery organization and the billboard owner or lessee, if applicable.</w:t>
      </w:r>
    </w:p>
    <w:p w:rsidR="003F3435" w:rsidRDefault="0032493E">
      <w:pPr>
        <w:spacing w:line="480" w:lineRule="auto"/>
        <w:ind w:firstLine="720"/>
        <w:jc w:val="both"/>
      </w:pPr>
      <w:r>
        <w:t xml:space="preserve">(b)</w:t>
      </w:r>
      <w:r xml:space="preserve">
        <w:t> </w:t>
      </w:r>
      <w:r xml:space="preserve">
        <w:t> </w:t>
      </w:r>
      <w:r>
        <w:t xml:space="preserve">A  cemetery organization may not renew a contract or lease for a billboard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