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87R20188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3063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3063:</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3063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private professional guardian regarding critical care and end-of-life decisions concerning a ward.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cited as the Michael Hickson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1151.051(a) and (c),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1151.057, the</w:t>
      </w:r>
      <w:r>
        <w:t xml:space="preserve"> [</w:t>
      </w:r>
      <w:r>
        <w:rPr>
          <w:strike/>
        </w:rPr>
        <w:t xml:space="preserve">The</w:t>
      </w:r>
      <w:r>
        <w:t xml:space="preserve">] guardian of the person of a ward is entitled to take charge of the person of the ward.</w:t>
      </w:r>
    </w:p>
    <w:p w:rsidR="003F3435" w:rsidRDefault="0032493E">
      <w:pPr>
        <w:spacing w:line="480" w:lineRule="auto"/>
        <w:ind w:firstLine="720"/>
        <w:jc w:val="both"/>
      </w:pPr>
      <w:r>
        <w:t xml:space="preserve">(c)</w:t>
      </w:r>
      <w:r xml:space="preserve">
        <w:t> </w:t>
      </w:r>
      <w:r xml:space="preserve">
        <w:t> </w:t>
      </w:r>
      <w:r>
        <w:t xml:space="preserve">A guardian of the person has:</w:t>
      </w:r>
    </w:p>
    <w:p w:rsidR="003F3435" w:rsidRDefault="0032493E">
      <w:pPr>
        <w:spacing w:line="480" w:lineRule="auto"/>
        <w:ind w:firstLine="1440"/>
        <w:jc w:val="both"/>
      </w:pPr>
      <w:r>
        <w:t xml:space="preserve">(1)</w:t>
      </w:r>
      <w:r xml:space="preserve">
        <w:t> </w:t>
      </w:r>
      <w:r xml:space="preserve">
        <w:t> </w:t>
      </w:r>
      <w:r>
        <w:t xml:space="preserve">the right to have physical possession of the ward and to establish the ward's legal domicile;</w:t>
      </w:r>
    </w:p>
    <w:p w:rsidR="003F3435" w:rsidRDefault="0032493E">
      <w:pPr>
        <w:spacing w:line="480" w:lineRule="auto"/>
        <w:ind w:firstLine="1440"/>
        <w:jc w:val="both"/>
      </w:pPr>
      <w:r>
        <w:t xml:space="preserve">(2)</w:t>
      </w:r>
      <w:r xml:space="preserve">
        <w:t> </w:t>
      </w:r>
      <w:r xml:space="preserve">
        <w:t> </w:t>
      </w:r>
      <w:r>
        <w:t xml:space="preserve">the duty to provide care, supervision, and protection for the ward;</w:t>
      </w:r>
    </w:p>
    <w:p w:rsidR="003F3435" w:rsidRDefault="0032493E">
      <w:pPr>
        <w:spacing w:line="480" w:lineRule="auto"/>
        <w:ind w:firstLine="1440"/>
        <w:jc w:val="both"/>
      </w:pPr>
      <w:r>
        <w:t xml:space="preserve">(3)</w:t>
      </w:r>
      <w:r xml:space="preserve">
        <w:t> </w:t>
      </w:r>
      <w:r xml:space="preserve">
        <w:t> </w:t>
      </w:r>
      <w:r>
        <w:t xml:space="preserve">the duty to provide the ward with clothing, food, medical care, and shelter;</w:t>
      </w:r>
    </w:p>
    <w:p w:rsidR="003F3435" w:rsidRDefault="0032493E">
      <w:pPr>
        <w:spacing w:line="480" w:lineRule="auto"/>
        <w:ind w:firstLine="1440"/>
        <w:jc w:val="both"/>
      </w:pPr>
      <w:r>
        <w:t xml:space="preserve">(4)</w:t>
      </w:r>
      <w:r xml:space="preserve">
        <w:t> </w:t>
      </w:r>
      <w:r xml:space="preserve">
        <w:t> </w:t>
      </w:r>
      <w:r>
        <w:rPr>
          <w:u w:val="single"/>
        </w:rPr>
        <w:t xml:space="preserve">except as provided by Section 1151.057,</w:t>
      </w:r>
      <w:r>
        <w:t xml:space="preserve"> the power to consent to medical, psychiatric, and surgical treatment other than the inpatient psychiatric commitment of the ward;</w:t>
      </w:r>
    </w:p>
    <w:p w:rsidR="003F3435" w:rsidRDefault="0032493E">
      <w:pPr>
        <w:spacing w:line="480" w:lineRule="auto"/>
        <w:ind w:firstLine="1440"/>
        <w:jc w:val="both"/>
      </w:pPr>
      <w:r>
        <w:t xml:space="preserve">(5)</w:t>
      </w:r>
      <w:r xml:space="preserve">
        <w:t> </w:t>
      </w:r>
      <w:r xml:space="preserve">
        <w:t> </w:t>
      </w:r>
      <w:r>
        <w:t xml:space="preserve">on application to and order of the court, the power to establish a trust in accordance with 42 U.S.C. Section 1396p(d)(4)(B) and direct that the income of the ward as defined by that section be paid directly to the trust, solely for the purpose of the ward's eligibility for medical assistance under Chapter 32, Human Resources Code; and</w:t>
      </w:r>
    </w:p>
    <w:p w:rsidR="003F3435" w:rsidRDefault="0032493E">
      <w:pPr>
        <w:spacing w:line="480" w:lineRule="auto"/>
        <w:ind w:firstLine="1440"/>
        <w:jc w:val="both"/>
      </w:pPr>
      <w:r>
        <w:t xml:space="preserve">(6)</w:t>
      </w:r>
      <w:r xml:space="preserve">
        <w:t> </w:t>
      </w:r>
      <w:r xml:space="preserve">
        <w:t> </w:t>
      </w:r>
      <w:r>
        <w:t xml:space="preserve">the power to sign documents necessary or appropriate to facilitate employment of the ward if:</w:t>
      </w:r>
    </w:p>
    <w:p w:rsidR="003F3435" w:rsidRDefault="0032493E">
      <w:pPr>
        <w:spacing w:line="480" w:lineRule="auto"/>
        <w:ind w:firstLine="2160"/>
        <w:jc w:val="both"/>
      </w:pPr>
      <w:r>
        <w:t xml:space="preserve">(A)</w:t>
      </w:r>
      <w:r xml:space="preserve">
        <w:t> </w:t>
      </w:r>
      <w:r xml:space="preserve">
        <w:t> </w:t>
      </w:r>
      <w:r>
        <w:t xml:space="preserve">the guardian was appointed with full authority over the person of the ward under Section 1101.151; or</w:t>
      </w:r>
    </w:p>
    <w:p w:rsidR="003F3435" w:rsidRDefault="0032493E">
      <w:pPr>
        <w:spacing w:line="480" w:lineRule="auto"/>
        <w:ind w:firstLine="2160"/>
        <w:jc w:val="both"/>
      </w:pPr>
      <w:r>
        <w:t xml:space="preserve">(B)</w:t>
      </w:r>
      <w:r xml:space="preserve">
        <w:t> </w:t>
      </w:r>
      <w:r xml:space="preserve">
        <w:t> </w:t>
      </w:r>
      <w:r>
        <w:t xml:space="preserve">the power is specified in the court order appointing the guardian with limited powers over the person of the ward under Section 1101.152.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1151, Estates Code, is amended by adding Section 1151.057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1151.057.</w:t>
      </w:r>
      <w:r>
        <w:rPr>
          <w:u w:val="single"/>
        </w:rPr>
        <w:t xml:space="preserve"> </w:t>
      </w:r>
      <w:r>
        <w:rPr>
          <w:u w:val="single"/>
        </w:rPr>
        <w:t xml:space="preserve"> </w:t>
      </w:r>
      <w:r>
        <w:rPr>
          <w:u w:val="single"/>
        </w:rPr>
        <w:t xml:space="preserve">PRIVATE PROFESSIONAL GUARDIAN DUTIES REGARDING CRITICAL CARE AND END-OF-LIFE DECISIONS.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"Closest living next of kin" of an individual who is a patient means, except as provided by Subsection (b), the living relative of the patient from one of the following categories in the following order of priority: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spouse;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 reasonably available adult children;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patient's parents;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patient's next closest relative not listed in Paragraph (A), (B), or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 means medical care for an individual who has a life-threatening injury or illness.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placement of the individual in an intensive care unit with a team of specially trained health care providers who provide care 24 hours a day, seven days a week;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required by the individual's injury or illness, the use of a machine to  monitor the individual's vital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"End-of-life" means the period during which it is medically obvious that an individual's death is imminent or a terminal moribund state cannot be prevented due to the individual's health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individual described by Subsection (a)(1) is not considered to be a patient's closest living next of kin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judicially declared incompetent;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owes money or another thing of value to the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involved in a property or contract dispute against the patient;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pending criminal charges against the individual involving an offense in which the patient is the alleged victim.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(f), a private professional guardian appointed as guardian of the person of a ward is not authorized to make a critical care or end-of-life decision regarding the ward.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Immediately after discovering that a critical care or end-of-life decision regarding a ward is necessary, the private professional guardian appointed as guardian of the person of the ward must contact the ward's closest living next of kin. </w:t>
      </w:r>
      <w:r>
        <w:rPr>
          <w:u w:val="single"/>
        </w:rPr>
        <w:t xml:space="preserve"> </w:t>
      </w:r>
      <w:r>
        <w:rPr>
          <w:u w:val="single"/>
        </w:rPr>
        <w:t xml:space="preserve">The private professional guardian shall contact the court to obtain the name and contact information of the ward's closest living next of kin if the private professional guardian does not have that information. If the private professional guardian has incorrect contact information for the ward's closest living next of kin, the private professional guardian shall attempt to obtain correct information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private professional guardian shall attempt to contact the ward's closest living next of kin at least three times each day for a period of at least 72 hours by a combination of telephone and e-mail. Each attempt to contact the next of kin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a different time of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all attempts by telephone, include a voice mail message identifying the caller, the reason for the call, and a telephone number at which the caller may be reached;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all attempts by e-mail, identify the sender, the reason for the e-mail, and a telephone number and e-mail address at which the sender may be reached.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private professional guardian has attempted to contact the ward's closest living next of kin in accordance with Subsection (e), the private professional guardian shall wait for a period of an additional 48 hours for a response from that next of kin. </w:t>
      </w:r>
      <w:r>
        <w:rPr>
          <w:u w:val="single"/>
        </w:rPr>
        <w:t xml:space="preserve"> </w:t>
      </w:r>
      <w:r>
        <w:rPr>
          <w:u w:val="single"/>
        </w:rPr>
        <w:t xml:space="preserve">If the private professional guardian does not receive a response from that next of kin before the expiration of that period, the next of kin is considered unreachable. </w:t>
      </w:r>
      <w:r>
        <w:rPr>
          <w:u w:val="single"/>
        </w:rPr>
        <w:t xml:space="preserve"> </w:t>
      </w:r>
      <w:r>
        <w:rPr>
          <w:u w:val="single"/>
        </w:rPr>
        <w:t xml:space="preserve">After that next of kin is considered unreachable, the private professional guardian: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submit documentation to the court regarding each attempt to contact the next of kin;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authorized to make a critical care or end-of-life decision regarding the ward.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private professional guardian is able to contact the ward's closest living next of kin within the periods described by Subsections (e) and (f), that next of kin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with the health care professional with primary responsibility for providing the ward's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critical care or end-of-life decision, unless the next of kin desires for the private professional guardian to proceed with making the decision and authorizes in writing the private professional guardian to make the decision.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health care professional with primary responsibility for providing the ward's care shall continue to provide care to the ward that is reasonable and prudent while the private professional guardian complies with the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At least once every six months, a private professional guardian appointed as the guardian of the person of a ward shall obtain and verify the contact information for each of the ward's next of kin.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Immediately after a private professional guardian is appointed as the guardian of the person of a ward, providing that the order appointing the private professional guardian states that the ward is competent to express the ward's opinion regarding critical care or end-of-life decisions, the private professional guardian shall obtain the ward's preferences regarding critical care or end-of-life decisions. </w:t>
      </w:r>
      <w:r>
        <w:rPr>
          <w:u w:val="single"/>
        </w:rPr>
        <w:t xml:space="preserve"> </w:t>
      </w:r>
      <w:r>
        <w:rPr>
          <w:u w:val="single"/>
        </w:rPr>
        <w:t xml:space="preserve">If the order does not state that the ward is competent to express those preferences, the private professional guardian shall obtain those preferences from the ward's closest living next of kin, if known.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