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87R6941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state agencies make agency guidance documents accessible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Government Code, is amended by adding Chapter 2062 to read as follows:</w:t>
      </w:r>
    </w:p>
    <w:p w:rsidR="003F3435" w:rsidRDefault="0032493E">
      <w:pPr>
        <w:spacing w:line="480" w:lineRule="auto"/>
        <w:jc w:val="center"/>
      </w:pPr>
      <w:r>
        <w:rPr>
          <w:u w:val="single"/>
        </w:rPr>
        <w:t xml:space="preserve">CHAPTER 2062.  STATE AGENCY GUIDANCE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"Guidance document" means a statement of general applicability issued by a state agency that describes the agency's policy on a statutory, regulatory, or technical issue that relates to the agency's powers and duties or that interprets a statutory or regulatory issue that relates to the agency's powers and duties.  The term does not include a rule adopted by a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board, commission, council, department, office, or other agency in the executive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2062.0002.</w:t>
      </w:r>
      <w:r>
        <w:rPr>
          <w:u w:val="single"/>
        </w:rPr>
        <w:t xml:space="preserve"> </w:t>
      </w:r>
      <w:r>
        <w:rPr>
          <w:u w:val="single"/>
        </w:rPr>
        <w:t xml:space="preserve"> </w:t>
      </w:r>
      <w:r>
        <w:rPr>
          <w:u w:val="single"/>
        </w:rPr>
        <w:t xml:space="preserve">LIBERAL CONSTRUCTION OF CHAPTER.  This chapter shall be liberally construed to effectuate its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2062.0003.</w:t>
      </w:r>
      <w:r>
        <w:rPr>
          <w:u w:val="single"/>
        </w:rPr>
        <w:t xml:space="preserve"> </w:t>
      </w:r>
      <w:r>
        <w:rPr>
          <w:u w:val="single"/>
        </w:rPr>
        <w:t xml:space="preserve"> </w:t>
      </w:r>
      <w:r>
        <w:rPr>
          <w:u w:val="single"/>
        </w:rPr>
        <w:t xml:space="preserve">ACCESS TO GUIDANCE DOCUMENTS.  (a)  Each state agency shall include on the agency's publicly accessible Internet website a prominently displayed link to the guidance documents issued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charge a person to access a guidance document.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2062.0004.</w:t>
      </w:r>
      <w:r>
        <w:rPr>
          <w:u w:val="single"/>
        </w:rPr>
        <w:t xml:space="preserve"> </w:t>
      </w:r>
      <w:r>
        <w:rPr>
          <w:u w:val="single"/>
        </w:rPr>
        <w:t xml:space="preserve"> </w:t>
      </w:r>
      <w:r>
        <w:rPr>
          <w:u w:val="single"/>
        </w:rPr>
        <w:t xml:space="preserve">APPLICABILITY OF PUBLIC INFORMATION LAW.  This chapter may not be construed to require disclosure of information that is excepted from disclosure or is confidential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state agency to which Chapter 2062, Government Code, as added by this Act, applies shall comply with the requirements of that chapter as soon as practicable after the effective date of this Act, but not later than March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