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87R9199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individuals to purchase Medicare supplement benefit plans at the lowest standard premium rate.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1652, Insurance Code, is amended by adding Section 1652.006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1652.006.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RATE REQUIREMENTS FOR POLICIES OFFERED AT CERTAIN PERIODS.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"Entity" means an entity that delivers or issues for delivery a Medicare supplement benefit plan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"Substantially comparable plan" means a Medicare supplement benefit plan that is of the same tier as another Medicare supplement benefit plan as provided by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Medicare supplement benefit plan is considered a "tier one plan" if the plan is identified by the department as Plan C, D, E, F except for high-deductible F, G except for high-deductible G, I, J, M, or 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Medicare supplement benefit plan is considered a "tier two plan" if the plan is identified by the department as Plan A or B;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Medicare supplement benefit plan is considered a "tier three plan" if the plan is identified by the department as high-deductible Plan F or G or Plan K or 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(f), an entity shall offer a plan at the lowest standard premium rate charged for that plan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date an applicant applies for the plan, the applicant is covered by a substantially comparable plan;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 applies for the plan during the applicant's eligibility period described by Subsection 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applicant is eligible under Subsection (c) for a period occurring once every five years, beginning the year in which the applicant's 70th birthday occurs.  The eligibility period: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begins on the first day of the applicant's birth month;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ends on the last day of the second month that follows the applicant's birth month.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may not deny coverage or offer a plan to which this section applies at a higher premium rate based on the applicant's: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height;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weight;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medical history except for age and tobacco use.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(c), an entity may charge a higher standard rate for tobacco users than non-tobacco users.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Medicare supplement benefit plan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