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87R12015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3076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system benefit account and programs for providing assistance to certain low-income, ill, and disabled electric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403.0956, Government Code, is amended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w:t>
      </w:r>
      <w:r xml:space="preserve">
        <w:t> </w:t>
      </w:r>
      <w:r xml:space="preserve">
        <w:t> </w:t>
      </w:r>
      <w:r>
        <w:t xml:space="preserve">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artificial reef account</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system benefit account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39.1516, 39.155, 39.157(e), 39.203, </w:t>
      </w:r>
      <w:r>
        <w:rPr>
          <w:u w:val="singl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39.352(g), Utilities Code, is amended to read as follows:</w:t>
      </w:r>
    </w:p>
    <w:p w:rsidR="003F3435" w:rsidRDefault="0032493E">
      <w:pPr>
        <w:spacing w:line="480" w:lineRule="auto"/>
        <w:ind w:firstLine="720"/>
        <w:jc w:val="both"/>
      </w:pPr>
      <w:r>
        <w:t xml:space="preserve">(g)</w:t>
      </w:r>
      <w:r xml:space="preserve">
        <w:t> </w:t>
      </w:r>
      <w:r xml:space="preserve">
        <w:t> </w:t>
      </w:r>
      <w:r>
        <w:t xml:space="preserve">If a retail electric provider serves an aggregate load in excess of 300 megawatts within this state, not less than five percent of the load in megawatt hours must consist of residential customers. This requirement applies to an affiliated retail electric provider only with respect to load served outside of the electric utility's service area, and, in relation to that load, the affiliated retail electric provider shall meet the requirements of this subsection by serving residential customers outside of the electric utility's service area. For the purpose of this subsection, the load served by retail electric providers that are under common ownership shall be combined. A retail electric provider may meet the requirements of this subsection by demonstrating on an annual basis that it serves residential load amounting to five percent of its total load</w:t>
      </w:r>
      <w:r>
        <w:rPr>
          <w:u w:val="single"/>
        </w:rPr>
        <w:t xml:space="preserve">,</w:t>
      </w:r>
      <w:r>
        <w:t xml:space="preserve"> [</w:t>
      </w:r>
      <w:r>
        <w:rPr>
          <w:strike/>
        </w:rPr>
        <w:t xml:space="preserve">or</w:t>
      </w:r>
      <w:r>
        <w:t xml:space="preserve">] by demonstrating that another retail electric provider serves sufficient qualifying residential load on its behalf</w:t>
      </w:r>
      <w:r>
        <w:rPr>
          <w:u w:val="single"/>
        </w:rPr>
        <w:t xml:space="preserve">, or by paying an amount into the system benefit account equal to $1 multiplied by a number equal to the difference between the number of megawatt hours it sold to residential customers and the number of megawatt hours it was required to sell to such customers, or in the case of an affiliated retail electric provider, $1 multiplied by a number equal to the difference between the number of megawatt hours sold to residential customers outside of the electric utility's service area and the number of megawatt hours it was required to sell to such customers outside of the electric utility's service area</w:t>
      </w:r>
      <w:r>
        <w:t xml:space="preserve">. Qualifying residential load may not include customers served by an affiliated retail electric provider in its own service area. Each retail electric provider shall file reports with the commission that are necessary to implement this subsection. This subsection applies for 36 months after retail competition begins. The commission shall adopt rules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Z, Chapter 39, Utilities Code, is amended by adding Section 39.903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39.903.</w:t>
      </w:r>
      <w:r>
        <w:rPr>
          <w:u w:val="single"/>
        </w:rPr>
        <w:t xml:space="preserve"> </w:t>
      </w:r>
      <w:r>
        <w:rPr>
          <w:u w:val="single"/>
        </w:rPr>
        <w:t xml:space="preserve"> </w:t>
      </w:r>
      <w:r>
        <w:rPr>
          <w:u w:val="single"/>
        </w:rPr>
        <w:t xml:space="preserve">SYSTEM BENEFIT ACCOUNT.  (a) The system benefit account is an account in the general revenue fund. Money in the account may be appropriated only for the purposes provided by this section. Interest earned on the system benefit account shall be credited to the account.  Section 404.071, Government Code, does not apply to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benefit account is financed by a nonbypassable fee set by the commission in an amount not to exceed 65 cents per megawatt hour. The fee is allocated to customers based on the amount of kilowatt hours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nonbypassable fee may not be imposed on the retail electric customers of a municipally owned utility or electric cooperative before the sixth month preceding the date on which the utility or cooperative implements customer choice. Money distributed from the system benefit account to a municipally owned utility or an electric cooperative shall be proportional to the nonbypassable fee paid by the municipally owned utility or the electric cooperative, subject to the reimbursement provided by Subsection (i). On request by a municipally owned utility or electric cooperative, the commission shall reduce the nonbypassable fee imposed on retail electric customers served by the municipally owned utility or electric cooperative by an amount equal to the amount provided by the municipally owned utility or electric cooperative or its ratepayers for local low-income programs and local programs that educate customers about the retail electric market in a neutral and nonpromotional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annually shall review and approve the system benefit account, projected revenue requirements, and proposed nonbypassable fees.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system benefit account may be appropriated to provide funding only for the following regulatory purposes,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 low-income electric customers by providing the 10 percent reduced rate prescribed by Subsection (h);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one-time bill payment assistance to electric customers who are or who have in their households one or more seriously ill or disabled low-income persons and who have been threatened with disconnection for nonpayment;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customer education programs, administrative expenses incurred by the commission in implementing and administering this chapter, and expenses incurred by the office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programs to assist low-income electric customers by providing the targeted energy efficiency programs described by Subsection (f)(2);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programs to assist low-income electric customers by providing the 20 percent reduced rate prescribed by Subsection (h);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reimbursement to the commission and the Health and Human Services Commission for expenses incurred in the implementation and administration of an automatic process for identifying low-income customers to retail electric providers created under Section 17.007 for customer service discounts relating to retail electric service, including outreach expenses the commission determines are reasonable and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39.106(b), the commission shall adopt rules regarding programs to assist low-income electric customers on the introduction of customer choice. The programs may not be targeted to areas served by municipally owned utilities or electric cooperatives that have not adopted customer choice. The programs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reduced electric rates as provided by Subsections (h)-(l);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targeted energy efficiency programs to be administered by the Texas Department of Housing and Community Affairs in coordination with existing weatherization programs.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Until customer choice is introduced in a power region, an electric utility may not reduce, in any manner, programs already offered to assist low-income electric customers.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adopt rules for a retail electric provider to determine a reduced rate for eligible customers to be discounted off the standard retail service package as approved by the commission under Section 39.106, or the price to beat established by Section 39.202, whichever is lower. Municipally owned utilities and electric cooperatives shall establish a reduced rate for eligible customers to be discounted off the standard retail service package established under Section 40.053 or 41.053, as appropriate. The reduced rate for a retail electric provider shall result in a total charge that is at least 10 percent lower than the amount the customer would otherwise be charged and, if sufficient money in the system benefit account is available, up to 20 percent lower than that amount. To the extent the system benefit account is insufficient to provide for the initial 10 percent rate reduction, the commission may increase the fee to an amount not more than 65 cents per megawatt hour, as provided by Subsection (b). If the fee is set at 65 cents per megawatt hour or if the commission determines that appropriations are insufficient to provide for the 10 percent rate reduction, the commission may reduce the rate reduction to less than 10 percent. For a municipally owned utility or electric cooperative, the reduced rate must be equal to an amount that can be fully funded by that portion of the nonbypassable fee proceeds paid by the municipally owned utility or electric cooperative that is allocated to the utility or cooperative by the commission under Subsection (e) for programs for low-income customers of the utility or cooperative. The reduced rate for municipally owned utilities and electric cooperatives under this section is in addition to any rate reduction that may result from local programs for low-income customers of the municipally owned utilities or electric cooperatives.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retail electric provider, municipally owned utility, or electric cooperative seeking reimbursement from the system benefit account may not charge an eligible low-income customer a rate higher than the appropriate rate determined under Subsection (h). A retail electric provider not subject to the price to beat, or a municipally owned utility or electric cooperative subject to the nonbypassable fee under Subsection (c), shall be reimbursed from the account for the difference between the reduced rate and the rate established under Section 39.106 or, as appropriate, the rate established under Section 40.053 or 41.053. A retail electric provider who is subject to the price to beat shall be reimbursed from the account for the difference between the reduced rate and the price to beat. The commission shall adopt rules providing for the reimbursement.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adopt rules providing for methods of enrolling customers eligible to receive reduced rates under Subsection (h). The rules must provide for automatic enrollment as one enrollment option. The Health and Human Services Commission, on request of the Public Utility Commission of Texas, shall assist in the adoption and implementation of these rules. The Public Utility Commission of Texas and the Health and Human Services Commission shall enter into a memorandum of understanding establishing the respective duties of the Public Utility Commission of Texas and the Health and Human Services Commission in relation to the automatic enrollment.</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 shall adopt rules governing the bill payment assistance program provided under Subsection (e)(1)(B). The rules must provide that a customer is eligible to receive the assistance only if the assistance is necessary to prevent the disconnection of service for nonpayment of bills and the electric customer is or has in the customer's household one or more seriously ill or disabled low-income persons whose health or safety may be injured by the disconnection. The commission may prescribe the documentation necessary to demonstrate eligibility for the assistance and may establish additional eligibility criteria. The Health and Human Services Commission, on request of the commission, shall assist in the adoption and implementation of these rules.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retail electric provider is prohibited from charging the customer a fee for participation in the reduced rate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the purposes of this section, a "low-income electric customer" is an electric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household income is not more than 125 percent of the federal poverty guidelines;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receives food stamps from the Health and Human Services Commission or medical assistance from a state agency administering a part of the medical assistance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39.905(f), Utilities Code, is amended to read as follows:</w:t>
      </w:r>
    </w:p>
    <w:p w:rsidR="003F3435" w:rsidRDefault="0032493E">
      <w:pPr>
        <w:spacing w:line="480" w:lineRule="auto"/>
        <w:ind w:firstLine="720"/>
        <w:jc w:val="both"/>
      </w:pPr>
      <w:r>
        <w:t xml:space="preserve">(f)</w:t>
      </w:r>
      <w:r xml:space="preserve">
        <w:t> </w:t>
      </w:r>
      <w:r xml:space="preserve">
        <w:t> </w:t>
      </w:r>
      <w:r>
        <w:rPr>
          <w:u w:val="single"/>
        </w:rPr>
        <w:t xml:space="preserve">Unless funding is provided under Section 39.903, each</w:t>
      </w:r>
      <w:r>
        <w:t xml:space="preserve"> [</w:t>
      </w:r>
      <w:r>
        <w:rPr>
          <w:strike/>
        </w:rPr>
        <w:t xml:space="preserve">Each</w:t>
      </w:r>
      <w:r>
        <w:t xml:space="preserve">] unbundled transmission and distribution utility shall include in its energy efficiency plan a targeted low-income energy efficiency program </w:t>
      </w:r>
      <w:r>
        <w:rPr>
          <w:u w:val="single"/>
        </w:rPr>
        <w:t xml:space="preserve">as described by Section 39.903(f)(2)</w:t>
      </w:r>
      <w:r>
        <w:t xml:space="preserve">, and the savings achieved by the program shall count toward the transmission and distribution utility's energy efficiency goal. The commission shall determine the appropriate level of 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40.001(a), Utilities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39.203, </w:t>
      </w:r>
      <w:r>
        <w:rPr>
          <w:u w:val="single"/>
        </w:rPr>
        <w:t xml:space="preserve">39.903,</w:t>
      </w:r>
      <w:r>
        <w:t xml:space="preserve"> and 39.904,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rPr>
          <w:u w:val="single"/>
        </w:rPr>
        <w:t xml:space="preserve">to require collection of the nonbypassable fee established under Section 39.903(b) and</w:t>
      </w:r>
      <w:r>
        <w:t xml:space="preserve"> to administer the renewable energy credits program under Section 39.904(b) and the natural gas energy credits program under Section 39.9044(b);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41.001, Utilities Code, is amended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39.203, </w:t>
      </w:r>
      <w:r>
        <w:rPr>
          <w:u w:val="single"/>
        </w:rPr>
        <w:t xml:space="preserve">39.903,</w:t>
      </w:r>
      <w:r>
        <w:t xml:space="preserve"> and 39.904,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