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87R3271 KKR-D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Coleman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applied behavior analysis paraprofessional technicians; requiring a registration.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506, Occupations Code, is amended by adding Section 506.258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506.258.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REGISTRATION OF PARAPROFESSIONAL TECHNICIAN.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deliver applied behavior analysis services under the extended authority and direction of a licensed behavior analyst or licensed assistant behavior analyst only if the person is registered with the department as a paraprofessional technician.  A person registered under this section shall be designated as an "applied behavior analysis technician," "behavior technician," "tutor," or "front-line therapist."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register a person as a paraprofessional technician if the person: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applies for registration in the manner and on a form prescribed by the department;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pays the application fee set by the commission;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meets the requirements for registration established by the commission.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by rule shall establish requirements for: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obtaining and renewing a registration under this section;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supervision by a license holder of a paraprofessional technician, including the maximum number of paraprofessional technicians who may deliver services under a license holder's supervision.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violates this section or a rule adopted under this section is subject to the enforcement provisions of Subchapter I.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Effective January 1, 2022, Section 506.054, Occupations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December 1, 2021, the Texas Commission of Licensing and Regulation shall adopt rules necessary to implement Section 506.258, Occupations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Notwithstanding Section 506.258, Occupations Code, as added by this Act: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person is not required to register as a paraprofessional technician under that section before January 1, 2022;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Subchapter I, Chapter 506, Occupations Code, does not apply to conduct described by that section before January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Except as otherwise provided by this Act,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