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87R20172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3082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3082:</w:t>
      </w: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C.S.H.B.</w:t>
      </w:r>
      <w:r xml:space="preserve">
        <w:t> </w:t>
      </w:r>
      <w:r>
        <w:t xml:space="preserve">No.</w:t>
      </w:r>
      <w:r xml:space="preserve">
        <w:t> </w:t>
      </w:r>
      <w:r>
        <w:t xml:space="preserve">3082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Medicaid fraud 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36.112, Human Resources Code, is amended to read as follows:</w:t>
      </w:r>
    </w:p>
    <w:p w:rsidR="003F3435" w:rsidRDefault="0032493E">
      <w:pPr>
        <w:spacing w:line="480" w:lineRule="auto"/>
        <w:ind w:firstLine="720"/>
        <w:jc w:val="both"/>
      </w:pPr>
      <w:r>
        <w:t xml:space="preserve">Sec.</w:t>
      </w:r>
      <w:r xml:space="preserve">
        <w:t> </w:t>
      </w:r>
      <w:r>
        <w:t xml:space="preserve">36.112.</w:t>
      </w:r>
      <w:r xml:space="preserve">
        <w:t> </w:t>
      </w:r>
      <w:r xml:space="preserve">
        <w:t> </w:t>
      </w:r>
      <w:r>
        <w:t xml:space="preserve">AWARD TO DEFENDANT FOR FRIVOLOUS ACTION.  </w:t>
      </w:r>
      <w:r>
        <w:rPr>
          <w:u w:val="single"/>
        </w:rPr>
        <w:t xml:space="preserve">(a)</w:t>
      </w:r>
      <w:r>
        <w:t xml:space="preserve">  Chapter 105, Civil Practice and Remedies Code, applies in an action under this subchapter with which the state proceeds.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state does not proceed with an action under this subchapter and the person who brought the action proceeds with the action, the court may award the defendant reasonable attorney's fees and expenses to the same extent the defendant would be entitled to recover those fees and expenses under Section 105.002, Civil Practice and Remedies Code, if the state had proceeded with the action,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that the action is frivolous;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who brought the action was not the original source of the information on which the action is based.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action commenced on or after the effective date of this Act.  An action commenced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