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87R18063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proposal by the Texas Water Development Board of a process to identify and evaluate multiregional water supply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REPORT.  (a)  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"Board" means the Texas Water Development Board.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"Multiregional water supply project" means a water supply project that has the potential to serve more than one regional water planning area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create greater yields of water at a lower unit cost due to economies of scale;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 strategic water reserves for the state's long-term water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2024, the board shall submit to the legislature a report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proposes the framework for the addition of a new state-level planning component to the existing regional water planning process that would identify and evaluate  multiregional water supply projects;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contains a general outline for a potential work plan, timeline, and estimated cost for the implementation of the planning component proposed by Subdivision (1)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developing the multiregional planning component framework described by Subsection (b)(1) of this section, the board shall consider: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currently adopted regional and state water plans;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potentially available unused or new water sources, including sources related to flooding and seawater;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information that is readily available regarding potential multiregional water supply projects;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potential of multiregional water supply projects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provide water supplies beyond the 50-year state water planning horizon;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address droughts worse than the drought of record;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other relevant factors as determined by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developing the report required by Subsection (b) of this section, the board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consult with the interregional planning council established by Section 16.052, Water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contract for research and technical services as needed in developing the proposed framework for the multiregional planning component of the state water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January 1, 2025.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