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meetings of school districts' local school health advisory councils.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28.004(d-1),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local school health advisory council shall meet at least four times each year. </w:t>
      </w:r>
      <w:r>
        <w:rPr>
          <w:u w:val="single"/>
        </w:rPr>
        <w:t xml:space="preserve">All meetings of the council must be conducted in compliance with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