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87R9858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3091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for certain infrastructure projects and public parks.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351.1011.</w:t>
      </w:r>
      <w:r>
        <w:rPr>
          <w:u w:val="single"/>
        </w:rPr>
        <w:t xml:space="preserve"> </w:t>
      </w:r>
      <w:r>
        <w:rPr>
          <w:u w:val="single"/>
        </w:rPr>
        <w:t xml:space="preserve"> </w:t>
      </w:r>
      <w:r>
        <w:rPr>
          <w:u w:val="single"/>
        </w:rPr>
        <w:t xml:space="preserve">USE OF TAX REVENUE FOR CERTAIN INFRASTRUCTURE PROJECTS AND PUBLIC PARKS.  (a)  In this section, "qualified infrastructure"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street, highway, bridge, overpass, underpass, or interchange: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which an entrance to a hotel is accessible;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constitutes, wholly or partly, the shortest route between a hotel and a state highway, interstate highway, public beach, visitor or tourism information center, or convention center facility or complex that is located within five miles of the hotel;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water supply system from which a hotel receives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sanitary sewer system into which a hotel discharges wastewater;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storm drainage system into which runoff from a hotel 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purposes provided by Section 351.101(a), a municipality may use revenue from the municipal hotel occupancy tax to promote tourism and the convention and hotel industry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acquiring, constructing, repairing, remodeling, or expanding qualified infrastructure that is owned by the municipality and that is located not more than one mile from a hotel;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improvements to a public park that is owned by the municipality and that is located not more than one mile from a hotel.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municipal hotel occupancy tax revenue a municipality may use in a fiscal year for a purpose authorized under this section may not exceed 20 percent of the amount of revenue the municipality collected from that tax during the preceding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uses municipal hotel occupancy tax revenue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notwithstanding the limitation under Subsection (c), reserve not more than 20 percent of the revenue from that tax collected in a fiscal year for use under this section during the succeeding three fiscal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reduce the percentage of revenue from that tax allocated for a purpose described by Section 351.101(a)(3) to a percentage that is less than the average percentage of the revenue from that tax allocated by the municipality for the purpose described by Section 351.101(a)(3) during the 36-month period preceding the date the municipality begins using revenue for a purpose described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