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87R10068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entitlement of certain municipalities to receive tax revenue from certain establishments located near a hotel and convention center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351.157, Tax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municipality to which this section applies is not entitled to receive revenue under Subsection (d) unless the municipality commences a qualified project under this subchapter before September 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(e), a municipality commences a qualified project on the date the municipality, by ordinance or resolution: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the issuance of bonds or other obligations related to the qualified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executes or amends: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authorized by Chapter 380, Local Government Code, related to the qualified project;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interlocal agreement related to the qualified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