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Stephenson, Jetton, Reynolds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3097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Natural Resources &amp; Economic Development;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3097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entitlement of certain municipalities to receive tax revenue from certain establishments located near a hotel and convention center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351.157, Tax Code, is amended by amending Subsection (e)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municipality to which this section applies is not entitled to receive revenue under Subsection (d) unless the municipality commences a qualified project under this subchapter before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(e), a municipality commences a qualified project on the date the municipality, by ordinance or resolution: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authorizes the issuance of bonds or other obligations related to the qualified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executes: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authorized by Chapter 380, Local Government Code, related to the qualified project;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interlocal agreement related to the qualified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