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87R10660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3100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governmental contracts with nonprofit organizations regarding the use of money provided under those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2252, Government Code, is amended by adding Section 2252.909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2252.909.</w:t>
      </w:r>
      <w:r>
        <w:rPr>
          <w:u w:val="single"/>
        </w:rPr>
        <w:t xml:space="preserve"> </w:t>
      </w:r>
      <w:r>
        <w:rPr>
          <w:u w:val="single"/>
        </w:rPr>
        <w:t xml:space="preserve"> </w:t>
      </w:r>
      <w:r>
        <w:rPr>
          <w:u w:val="single"/>
        </w:rPr>
        <w:t xml:space="preserve">CONTRACTS WITH NONPROFIT ORGANIZATIONS.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contract to be paid partly or wholly from public funds between a governmental entity and a nonprofit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may not enter into a contract with a nonprofit organization unless the contract contains a written verification from the organization that the organization will not use more than 20 percent of the money provided under the contract for an administrative purpose, including for payment of the organization's employee or officer salaries.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