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87R5463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3104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home-delivered meal services under the Options for Independent Living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101A.151, Human Resources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101A, Human Resources Code, is amended by adding Section 101A.1541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101A.1541.</w:t>
      </w:r>
      <w:r>
        <w:rPr>
          <w:u w:val="single"/>
        </w:rPr>
        <w:t xml:space="preserve"> </w:t>
      </w:r>
      <w:r>
        <w:rPr>
          <w:u w:val="single"/>
        </w:rPr>
        <w:t xml:space="preserve"> </w:t>
      </w:r>
      <w:r>
        <w:rPr>
          <w:u w:val="single"/>
        </w:rPr>
        <w:t xml:space="preserve">HOME-DELIVERED MEAL SERVICES: EVALUATION AND MONITORING. (a) On a quarterly basis the commission shall evaluate the use of home-delivered meal services under the Options for Independent Living program by collecting data from all local area agencies on aging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home-delivered meals requested under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requests for home-delivered meals that are approved and denied under the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home-delivered meals that are delivered to individuals under the program;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statewide trends related to the provision of home-delivered meals under the program and the reasons for those trends.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continually monitor the use of home-delivered meal services under the Options for Independent Living program, including statewide trends related to the use of those services, and make any necessary actions to improve the provision of those services.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report containing the results of the evaluations performed under Subsection (a) and recommendations for improving the use of home-delivered meals under the Options for Independent Living program to the governor, the lieutenant governor, the speaker of the house of representatives, and the standing committees of the legislature having primary jurisdiction over health and human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report on the commission's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 the Health and Human Services Commission shall submit the report required by Section 101A.1541(c), Human Resources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