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3109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identifying and addressing social determinants of health in Medicaid managed care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533.005, Government Code, is amended by adding subsection (a)(27-29)to read as follows:</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a requirement that the managed care organization perform routine screening of recipients to identify social determinants of health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housing;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economic opportunity;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community conditions including access to healthy food, environmental conditions, and safety from crime;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a requirement that the managed care organization coordinate with local community services and other federal, state, and local government agencies as applicable to help address the social determinants of health identified in subsection (27) that are affecting the health of the recipient; and</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a requirement that the managed care organization have a designated social determinants of health specialists for each service area they are contracted in.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apply to contracts entered in to before the effective date but applies to all contracts that are new, renewed, or extended on or after the effective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