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87R10045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or procedures of the Commission on Jail Standards regarding prisoner visitation.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511.009(a-1),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county jail that as of September 1, 2015, has incurred significant design, engineering, or construction costs to provide prisoner visitation that does not comply with a rule or procedure adopted under Subsection (a)(20), or does not have the physical plant capability to provide the in-person prisoner visitation required by a rule or procedure adopted under Subsection (a)(20), is not required to comply with any commission rule or procedure adopted under Subsection (a)(20).  </w:t>
      </w:r>
      <w:r>
        <w:rPr>
          <w:u w:val="single"/>
        </w:rPr>
        <w:t xml:space="preserve">Any addition to or renovation of a county jail to which this subsection applies is not required to comply with any commission rule or procedure adopted under Subsection (a)(20).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