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87R9065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3122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correction of voter registration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15.021, Election Code, is amended by amending Subsections (b) and (d) and adding Subsections (d-1) and (d-2)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voter shall use the registration certificate or a registration application form as the notice, indicating the correct information in the appropriate space on the certificate or application form unless the voter does not have possession of the certificate or an application form at the time of giving the notice.</w:t>
      </w:r>
    </w:p>
    <w:p w:rsidR="003F3435" w:rsidRDefault="0032493E">
      <w:pPr>
        <w:spacing w:line="480" w:lineRule="auto"/>
        <w:ind w:firstLine="720"/>
        <w:jc w:val="both"/>
      </w:pPr>
      <w:r>
        <w:t xml:space="preserve">(d)</w:t>
      </w:r>
      <w:r xml:space="preserve">
        <w:t> </w:t>
      </w:r>
      <w:r xml:space="preserve">
        <w:t> </w:t>
      </w:r>
      <w:r>
        <w:t xml:space="preserve">A voter [</w:t>
      </w:r>
      <w:r>
        <w:rPr>
          <w:strike/>
        </w:rPr>
        <w:t xml:space="preserve">who continues to reside in the county in which the voter is registered</w:t>
      </w:r>
      <w:r>
        <w:t xml:space="preserve">] may correct information under this section by digital transmission of the information under a program administered by the secretary of state and the Department of Information Resources.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notice indicates that a voter no longer resides in the county in which the voter is registered, the registrar shall forward the notice and the voter's original application for registration to the registrar of the county in which the voter resides.  The registrars shall coordinate to ensure that the voter's existing registration is canceled immediately after the voter is registered in the county in which the voter resides in accordance with Subsection (d-2).</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registrar who receives a voter's notice and application from another registrar under Subsection (d-1) shall treat it as an original application for registration under Section 13.002, and shall register the voter if the voter resides in the county and is otherwise eligible under Section 13.001.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