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Vasut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carrying a handgun on the premises of a public employer.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411.203,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411.203.</w:t>
      </w:r>
      <w:r xml:space="preserve">
        <w:t> </w:t>
      </w:r>
      <w:r xml:space="preserve">
        <w:t> </w:t>
      </w:r>
      <w:r>
        <w:t xml:space="preserve">RIGHTS OF EMPLOYERS. 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This subchapter does not prevent or otherwise limit the right of a [</w:t>
      </w:r>
      <w:r>
        <w:rPr>
          <w:strike/>
        </w:rPr>
        <w:t xml:space="preserve">public or</w:t>
      </w:r>
      <w:r>
        <w:t xml:space="preserve">] private employer to prohibit persons who are licensed under this subchapter </w:t>
      </w:r>
      <w:r>
        <w:rPr>
          <w:u w:val="single"/>
        </w:rPr>
        <w:t xml:space="preserve">or not otherwise prohibited by state or federal law from possessing a firearm</w:t>
      </w:r>
      <w:r>
        <w:t xml:space="preserve"> from carrying a handgun on the premises of the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employer that is a governmental entity may not  prohibit an employee of the entity from carrying a handgun that the employee is not otherwise prohibited by state or federal law from carrying: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premises owned or leased by the governmental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while performing the employee's duties on premises other than premises owned or leased by the governmental entity;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any other location or circumstance in which the employee would otherwise be permitted to carry a handgun under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In this section, "premises" has the meaning assigned by Section </w:t>
      </w:r>
      <w:r>
        <w:rPr>
          <w:u w:val="single"/>
        </w:rPr>
        <w:t xml:space="preserve">46.035(f)</w:t>
      </w:r>
      <w:r>
        <w:t xml:space="preserve"> [</w:t>
      </w:r>
      <w:r>
        <w:rPr>
          <w:strike/>
        </w:rPr>
        <w:t xml:space="preserve">46.035(f)(3)</w:t>
      </w:r>
      <w:r>
        <w:t xml:space="preserve">],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