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methods by which the comptroller may provide notice of a hearing to suspend a permit or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111.0047, Tax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Notices under this section may be served on the holder of the permit or license personally</w:t>
      </w:r>
      <w:r>
        <w:rPr>
          <w:u w:val="single"/>
        </w:rPr>
        <w:t xml:space="preserve">, by electronic means,</w:t>
      </w:r>
      <w:r>
        <w:t xml:space="preserve"> or may be mailed to the holder's address as shown in the record of the comptroller.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given by electronic means shall be addressed to the person's e-mail address as it appears in the comptroller's records.  Service by electronic means is complete when the comptroller transmits the notice to the person's e-mail address.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