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87R5899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behavioral management of a student enrolled in a special education program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w:t>
      </w:r>
      <w:r>
        <w:rPr>
          <w:u w:val="single"/>
        </w:rPr>
        <w:t xml:space="preserve">29.005(j),</w:t>
      </w:r>
      <w:r>
        <w:t xml:space="preserve"> 29.010(a), 38.003,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29.005, Education Code, is amended by amending Subsection (g) and adding Subsections (h), (i), and (j) to read as follows:</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 by rule shall require the</w:t>
      </w:r>
      <w:r>
        <w:t xml:space="preserve"> committee </w:t>
      </w:r>
      <w:r>
        <w:rPr>
          <w:u w:val="single"/>
        </w:rPr>
        <w:t xml:space="preserve">to develop</w:t>
      </w:r>
      <w:r>
        <w:t xml:space="preserve"> [</w:t>
      </w:r>
      <w:r>
        <w:rPr>
          <w:strike/>
        </w:rPr>
        <w:t xml:space="preserve">may determine that</w:t>
      </w:r>
      <w:r>
        <w:t xml:space="preserve">] a behavior improvement plan or a behavioral intervention plan [</w:t>
      </w:r>
      <w:r>
        <w:rPr>
          <w:strike/>
        </w:rPr>
        <w:t xml:space="preserve">is</w:t>
      </w:r>
      <w:r>
        <w:t xml:space="preserve">] </w:t>
      </w:r>
      <w:r>
        <w:rPr>
          <w:u w:val="single"/>
        </w:rPr>
        <w:t xml:space="preserve">under Section 29.0052 if</w:t>
      </w:r>
      <w:r>
        <w:t xml:space="preserve"> appropriate for a student for whom the committee has developed an individualized education program. </w:t>
      </w:r>
      <w:r>
        <w:t xml:space="preserve"> </w:t>
      </w:r>
      <w:r>
        <w:t xml:space="preserve">If the committee </w:t>
      </w:r>
      <w:r>
        <w:rPr>
          <w:u w:val="single"/>
        </w:rPr>
        <w:t xml:space="preserve">develops a</w:t>
      </w:r>
      <w:r>
        <w:t xml:space="preserve"> </w:t>
      </w:r>
      <w:r>
        <w:t xml:space="preserve">[</w:t>
      </w:r>
      <w:r>
        <w:rPr>
          <w:strike/>
        </w:rPr>
        <w:t xml:space="preserve">makes that determination, the</w:t>
      </w:r>
      <w:r>
        <w:t xml:space="preserve">] behavior improvement plan or [</w:t>
      </w:r>
      <w:r>
        <w:rPr>
          <w:strike/>
        </w:rPr>
        <w:t xml:space="preserve">the</w:t>
      </w:r>
      <w:r>
        <w:t xml:space="preserve">] behavioral intervention plan</w:t>
      </w:r>
      <w:r>
        <w:rPr>
          <w:u w:val="single"/>
        </w:rPr>
        <w:t xml:space="preserve">, the plan must</w:t>
      </w:r>
      <w:r>
        <w:t xml:space="preserve"> [</w:t>
      </w:r>
      <w:r>
        <w:rPr>
          <w:strike/>
        </w:rPr>
        <w:t xml:space="preserve">shall</w:t>
      </w:r>
      <w:r>
        <w:t xml:space="preserve">] be included as part of the student's individualized education program and provided to each </w:t>
      </w:r>
      <w:r>
        <w:rPr>
          <w:u w:val="single"/>
        </w:rPr>
        <w:t xml:space="preserve">employee of the school district</w:t>
      </w:r>
      <w:r>
        <w:t xml:space="preserve"> </w:t>
      </w:r>
      <w:r>
        <w:t xml:space="preserve">[</w:t>
      </w:r>
      <w:r>
        <w:rPr>
          <w:strike/>
        </w:rPr>
        <w:t xml:space="preserve">teacher</w:t>
      </w:r>
      <w:r>
        <w:t xml:space="preserve">] with responsibility for educating </w:t>
      </w:r>
      <w:r>
        <w:rPr>
          <w:u w:val="single"/>
        </w:rPr>
        <w:t xml:space="preserve">or monitoring</w:t>
      </w:r>
      <w:r>
        <w:t xml:space="preserve"> </w:t>
      </w:r>
      <w:r>
        <w:t xml:space="preserve">the student.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the extent permitted by federal law, the rules adopted by the commissioner under Subsection (g) shall require the committee, when developing or determining the appropriateness of a behavior improvement plan or behavioral intervention plan, to include, in addition to the persons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assistant behavior analyst or licensed behavior analyst, as defined by Section 506.002,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specialist in school psychology, as defined by Section 501.002,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mental health professional, as defined by Section 61.601, or a teacher certified in special education who has been trained in functional behavior assessment by a licensed behavior analyst, as defined by Section 506.002, Occupations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Before an educator who is a member of the committee participates in conducting a functional behavioral assessment for purposes of developing a behavior improvement plan or behavioral intervention plan for the student, the member must attend training approved by the agency and provided by a licensed assistant behavior analyst or licensed behavior analyst, as defined by Section 506.002, Occupations Code, on appropriate behavioral interventions.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by rule shall develop procedures designed to allow the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and monitor school districts to ensure that districts are complying with this section, rules adopted under this section, and Section 29.0052;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difficulties school districts experience in complying with this section and Section 29.0052;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reasonable and appropriate remedial strategies to address noncompliance by school districts and to ensure the purposes of this section, the rules adopted under this section, and Section 29.0052 are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29, Education Code, is amended by adding Section 29.0052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29.0052.</w:t>
      </w:r>
      <w:r>
        <w:rPr>
          <w:u w:val="single"/>
        </w:rPr>
        <w:t xml:space="preserve"> </w:t>
      </w:r>
      <w:r>
        <w:rPr>
          <w:u w:val="single"/>
        </w:rPr>
        <w:t xml:space="preserve"> </w:t>
      </w:r>
      <w:r>
        <w:rPr>
          <w:u w:val="single"/>
        </w:rPr>
        <w:t xml:space="preserve">BEHAVIOR IMPROVEMENT PLAN OR BEHAVIORAL INTERVENTION PLAN.  (a) A behavior improvement plan or behavioral intervention plan may only be developed for a student who has exhibited consistent and persistent maladaptive behavior and for whom an individualized education program is developed under Section 29.005.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admission, review, and dismissal committee shall conduct a functional behavior assessment over a period of 45 calendar days for a student before developing a behavior improvement plan or behavioral intervention plan. </w:t>
      </w:r>
      <w:r>
        <w:rPr>
          <w:u w:val="single"/>
        </w:rPr>
        <w:t xml:space="preserve"> </w:t>
      </w:r>
      <w:r>
        <w:rPr>
          <w:u w:val="single"/>
        </w:rPr>
        <w:t xml:space="preserve">The functional behavior assessment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review of any medical, academic, and disciplinary records for the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interviews with and surveys of the student, the student's parents or legal guardians, the student's teachers, and any other educators with knowledge of the student on relevant subjects, including the motivations and preferences of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analysis of direct observations of the student in multiple school environments performed by multiple members of the committee no less frequently than once a week and at different times throughout the school day;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detailed functional analysis of the student's behavior, including a description of the causes and consequences of the behavior;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the methods used to collect data, the data collected, and the manner in which the data was reviewed;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description of which of the student's maladaptive behaviors relate to the student's disability or impairment;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recommendations for the behavior improvement plan or behavioral intervention plan, including possible alternative behaviors, proactive and research-based strategies to address behavior, and any changes to the student's individual education plan that may be required.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behavior improvement plan or behavioral intervention plan must include specific instruction on the levels of behavioral intervention appropriate for the student, including an explanation of the behaviors constituting a behavioral crisis for the student.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behavior improvement plan or behavioral intervention plan may not be significantly amended without an updated functional behavior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behavior improvement plan or behavioral intervention plan must provide appropriate consequences if the student violates the student code of conduct adopted under Section 37.001.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behavior improvement plan or behavioral intervention plan must designate members of the student's admission, review, and dismissal committee as a response team for the student to be contacted when the student experiences a behavioral crisis. </w:t>
      </w:r>
      <w:r>
        <w:rPr>
          <w:u w:val="single"/>
        </w:rPr>
        <w:t xml:space="preserve"> </w:t>
      </w:r>
      <w:r>
        <w:rPr>
          <w:u w:val="single"/>
        </w:rPr>
        <w:t xml:space="preserve">The response team must respond in an appropriate amount of time to each instance of behavioral crisis for the student.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responding to a behavioral crisis under Subsection (f), a response team shall document the crisis and notify the student's parent or legal guardian in writing of any force or restraint, as defined by Section 37.0021, used against the student.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37.0021, Education Code, is amended by amending Subsection (d) and adding Subsection (j) to read as follows: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w:t>
      </w:r>
      <w:r>
        <w:t xml:space="preserve"> </w:t>
      </w:r>
      <w:r>
        <w:t xml:space="preserve">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 and</w:t>
      </w:r>
    </w:p>
    <w:p w:rsidR="003F3435" w:rsidRDefault="0032493E">
      <w:pPr>
        <w:spacing w:line="480" w:lineRule="auto"/>
        <w:ind w:firstLine="1440"/>
        <w:jc w:val="both"/>
      </w:pPr>
      <w:r>
        <w:t xml:space="preserve">(2)</w:t>
      </w:r>
      <w:r xml:space="preserve">
        <w:t> </w:t>
      </w:r>
      <w:r xml:space="preserve">
        <w:t> </w:t>
      </w:r>
      <w:r>
        <w:rPr>
          <w:u w:val="single"/>
        </w:rPr>
        <w:t xml:space="preserve">provide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this section, only members of an admission, review, and dismissal committee designated as a response team to a student under Section 29.0052(f) may restrain that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peace officer may not be involved in the behavioral management of a student under this section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requested by a member of an admission, review, and dismissal committee;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student poses an imminent threat of serious bodily injury to any person</w:t>
      </w:r>
      <w:r>
        <w:t xml:space="preserve"> [</w:t>
      </w:r>
      <w:r>
        <w:rPr>
          <w:strike/>
        </w:rPr>
        <w:t xml:space="preserve">identify any discipline management practice or behavior management technique that requires a district employee or volunteer or an independent contractor of a district to be trained before using that practice or technique</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requiring each educator and school employee whose primary duty involves regular, direct contact with students to receive training on the behavior improvement plan or behavioral intervention plan for each student the educator or employee has regular, direct contact with and the use of positive behavioral intervention and appropriate behavioral management.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Not later than December 1, 2021, the commissioner of education shall adopt rules under Sections 29.005 and 37.0021, Education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29.005(i), Education Code, as added by this Act, an educator who is a member of an admission, review, and dismissal committee must complete the training required by Section 29.005(i), Education Code, as added by this Act, not later than September 1, 2022.</w:t>
      </w:r>
    </w:p>
    <w:p w:rsidR="003F3435" w:rsidRDefault="0032493E">
      <w:pPr>
        <w:spacing w:line="480" w:lineRule="auto"/>
        <w:ind w:firstLine="720"/>
        <w:jc w:val="both"/>
      </w:pPr>
      <w:r>
        <w:t xml:space="preserve">(c)</w:t>
      </w:r>
      <w:r xml:space="preserve">
        <w:t> </w:t>
      </w:r>
      <w:r xml:space="preserve">
        <w:t> </w:t>
      </w:r>
      <w:r>
        <w:t xml:space="preserve">Notwithstanding Section 37.0021(j), Education Code, as added by this Act, educators and school employees whose primary duty involves regular, direct contact with students must complete the training required by Section 37.0021(j), Education Code, as added by this Act, not later than September 1, 2022.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