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87R9924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drug testing and prescription drug policies and certain legal protections for employees and independent contractors of state agencies and political subdivisions and for other persons regarding the medical use of low-THC cannabis and hemp.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DRUG TESTING AND PRESCRIPTION DRUG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"Drug test" means a technical analysis of an individual's biological specimen to determine the presence or absence of specified drugs or metabolites.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"Hemp"</w:t>
      </w:r>
      <w:r>
        <w:rPr>
          <w:u w:val="single"/>
        </w:rPr>
        <w:t xml:space="preserve"> </w:t>
      </w:r>
      <w:r>
        <w:rPr>
          <w:u w:val="single"/>
        </w:rPr>
        <w:t xml:space="preserve">has the meaning assigned by Section 121.001, Agriculture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"Low-THC cannabis"</w:t>
      </w:r>
      <w:r>
        <w:rPr>
          <w:u w:val="single"/>
        </w:rPr>
        <w:t xml:space="preserve"> </w:t>
      </w:r>
      <w:r>
        <w:rPr>
          <w:u w:val="single"/>
        </w:rPr>
        <w:t xml:space="preserve">has the meaning assigned by Section 169.001,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EXCEPTIONS.  This chapter does not apply to an employee of a state agency or political subdivision of this state who is required to comply with United States Department of Transportation drug testing regulations in accordance with 49 C.F.R. Part 40.</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620.003.</w:t>
      </w:r>
      <w:r>
        <w:rPr>
          <w:u w:val="single"/>
        </w:rPr>
        <w:t xml:space="preserve"> </w:t>
      </w:r>
      <w:r>
        <w:rPr>
          <w:u w:val="single"/>
        </w:rPr>
        <w:t xml:space="preserve"> </w:t>
      </w:r>
      <w:r>
        <w:rPr>
          <w:u w:val="single"/>
        </w:rPr>
        <w:t xml:space="preserve">PROHIBITED DRUG TESTING AND PRESCRIPTION DRUG POLICIES.  A state agency or a political subdivision of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drug testing policy that requires an employee or independent contractor of the agency or political subdivision as a condition of employment or contract to submit to a drug test the intent of which is to screen for the presence of cannabinoids;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condition of employment or contract with the agency or political subdivision, administer or require the administration of a drug test to the employee or contractor the intent of which is to screen for the presence of cannabinoids;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for the employee or contractor as a condition of employment or contract a test result that is negative for the presence of cannabinoids;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prohibit an employee or contractor as a condition of employment or contract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prescribing or obtaining a prescription for low-THC cannabis or using low-THC cannabis in accordance with Chapter 169,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a consumable hemp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620.004.</w:t>
      </w:r>
      <w:r>
        <w:rPr>
          <w:u w:val="single"/>
        </w:rPr>
        <w:t xml:space="preserve"> </w:t>
      </w:r>
      <w:r>
        <w:rPr>
          <w:u w:val="single"/>
        </w:rPr>
        <w:t xml:space="preserve"> </w:t>
      </w:r>
      <w:r>
        <w:rPr>
          <w:u w:val="single"/>
        </w:rPr>
        <w:t xml:space="preserve">MEDICAL PRIVACY.  A state agency or a political subdivision of this state may not question an employee about the employee's use of low-THC cannabis or hemp and shall comply with all relevant state and federal privacy laws, including Chapter 181, Health and Safety Code, the Health Insurance Portability and Accountability Act of 1996 (Pub. L. No.</w:t>
      </w:r>
      <w:r>
        <w:rPr>
          <w:u w:val="single"/>
        </w:rPr>
        <w:t xml:space="preserve"> </w:t>
      </w:r>
      <w:r>
        <w:rPr>
          <w:u w:val="single"/>
        </w:rPr>
        <w:t xml:space="preserve">104-191), and regulations adopted under that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620.005.</w:t>
      </w:r>
      <w:r>
        <w:rPr>
          <w:u w:val="single"/>
        </w:rPr>
        <w:t xml:space="preserve"> </w:t>
      </w:r>
      <w:r>
        <w:rPr>
          <w:u w:val="single"/>
        </w:rPr>
        <w:t xml:space="preserve"> </w:t>
      </w:r>
      <w:r>
        <w:rPr>
          <w:u w:val="single"/>
        </w:rPr>
        <w:t xml:space="preserve">RELIEF AVAILABLE.  (a)  A person may assert an actual or threatened violation of Section 620.003 or 620.004 as a claim or defense in a judicial or administrative proceeding and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declaratory relief;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appropriate relief, including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620.006.</w:t>
      </w:r>
      <w:r>
        <w:rPr>
          <w:u w:val="single"/>
        </w:rPr>
        <w:t xml:space="preserve"> </w:t>
      </w:r>
      <w:r>
        <w:rPr>
          <w:u w:val="single"/>
        </w:rPr>
        <w:t xml:space="preserve"> </w:t>
      </w:r>
      <w:r>
        <w:rPr>
          <w:u w:val="single"/>
        </w:rPr>
        <w:t xml:space="preserve">IMMUNITY WAIVED.  A person who alleges a violation of Section 620.003 or 620.004 may sue the state agency or political subdivision for the relief provided under Section 620.005.  Sovereign or governmental immunity, as applicable, is waived and abolished to the extent of liability for that relief.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487, Health and Safety Code, is amended by adding Subchapter A-1 to read as follows:</w:t>
      </w:r>
    </w:p>
    <w:p w:rsidR="003F3435" w:rsidRDefault="0032493E">
      <w:pPr>
        <w:spacing w:line="480" w:lineRule="auto"/>
        <w:jc w:val="center"/>
      </w:pPr>
      <w:r>
        <w:rPr>
          <w:u w:val="single"/>
        </w:rPr>
        <w:t xml:space="preserve">SUBCHAPTER A-1. PROTECTIONS RELATED TO MEDICAL USE OF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487.021.</w:t>
      </w:r>
      <w:r>
        <w:rPr>
          <w:u w:val="single"/>
        </w:rPr>
        <w:t xml:space="preserve"> </w:t>
      </w:r>
      <w:r>
        <w:rPr>
          <w:u w:val="single"/>
        </w:rPr>
        <w:t xml:space="preserve"> </w:t>
      </w:r>
      <w:r>
        <w:rPr>
          <w:u w:val="single"/>
        </w:rPr>
        <w:t xml:space="preserve">DEFINITION.  In this subchapter, "authorized medical use" means a medical use of a substance that is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G, Chapter 481;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169, Occupations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487.022.</w:t>
      </w:r>
      <w:r>
        <w:rPr>
          <w:u w:val="single"/>
        </w:rPr>
        <w:t xml:space="preserve"> </w:t>
      </w:r>
      <w:r>
        <w:rPr>
          <w:u w:val="single"/>
        </w:rPr>
        <w:t xml:space="preserve"> </w:t>
      </w:r>
      <w:r>
        <w:rPr>
          <w:u w:val="single"/>
        </w:rPr>
        <w:t xml:space="preserve">APPLICABILITY.  The protections provided by this subchapter apply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patient for whom authorized medical use is prescribed under Chapter 169, Occupations Code, or the parent or caregiver of the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dispensing organization;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director, manager, or employee of a dispensing organization who is registered with the department under Section 487.053.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487.023.</w:t>
      </w:r>
      <w:r>
        <w:rPr>
          <w:u w:val="single"/>
        </w:rPr>
        <w:t xml:space="preserve"> </w:t>
      </w:r>
      <w:r>
        <w:rPr>
          <w:u w:val="single"/>
        </w:rPr>
        <w:t xml:space="preserve"> </w:t>
      </w:r>
      <w:r>
        <w:rPr>
          <w:u w:val="single"/>
        </w:rPr>
        <w:t xml:space="preserve">PROTECTION FROM LEGAL ACTION.  Notwithstanding any other law, a person described by Section 487.022 is not subject to arrest, prosecution, or penalty in any manner, or denial of any right or privilege, including any administrative or civil penalty or disciplinary action imposed by a court or state licensing board, for conduct involving authorized medical use.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487.024.</w:t>
      </w:r>
      <w:r>
        <w:rPr>
          <w:u w:val="single"/>
        </w:rPr>
        <w:t xml:space="preserve"> </w:t>
      </w:r>
      <w:r>
        <w:rPr>
          <w:u w:val="single"/>
        </w:rPr>
        <w:t xml:space="preserve"> </w:t>
      </w:r>
      <w:r>
        <w:rPr>
          <w:u w:val="single"/>
        </w:rPr>
        <w:t xml:space="preserve">PROHIBITED PRESUMPTION OF CHILD ABUSE, NEGLECT, OR ENDANGERMENT.  A person described by Section 487.022 may not be presumed to have engaged in conduct constituting child abuse, neglect, or endangerment solely because the person engaged in conduct involving authorized medical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487.025.</w:t>
      </w:r>
      <w:r>
        <w:rPr>
          <w:u w:val="single"/>
        </w:rPr>
        <w:t xml:space="preserve"> </w:t>
      </w:r>
      <w:r>
        <w:rPr>
          <w:u w:val="single"/>
        </w:rPr>
        <w:t xml:space="preserve"> </w:t>
      </w:r>
      <w:r>
        <w:rPr>
          <w:u w:val="single"/>
        </w:rPr>
        <w:t xml:space="preserve">PROHIBITED DENIAL OF PARENTAL RIGHTS.  The fact that a person described by Section 487.022 engages in conduct involving authorized medical use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487.026.</w:t>
      </w:r>
      <w:r>
        <w:rPr>
          <w:u w:val="single"/>
        </w:rPr>
        <w:t xml:space="preserve"> </w:t>
      </w:r>
      <w:r>
        <w:rPr>
          <w:u w:val="single"/>
        </w:rPr>
        <w:t xml:space="preserve"> </w:t>
      </w:r>
      <w:r>
        <w:rPr>
          <w:u w:val="single"/>
        </w:rPr>
        <w:t xml:space="preserve">PROHIBITED SEIZURE OR FORFEITURE.  Property used in the cultivation, research, testing, processing, distribution, transportation, and delivery of low-THC cannabis for authorized medical use is not contraband for purposes of Chapter 59, Code of Criminal Procedure, and is not subject to seizure or forfeiture under that chapter or other law solely for the use of the property for the authorized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487.027.</w:t>
      </w:r>
      <w:r>
        <w:rPr>
          <w:u w:val="single"/>
        </w:rPr>
        <w:t xml:space="preserve"> </w:t>
      </w:r>
      <w:r>
        <w:rPr>
          <w:u w:val="single"/>
        </w:rPr>
        <w:t xml:space="preserve"> </w:t>
      </w:r>
      <w:r>
        <w:rPr>
          <w:u w:val="single"/>
        </w:rPr>
        <w:t xml:space="preserve">PROHIBITED PROSECUTION FOR PROVISION OF PARAPHERNALIA.  A person is not subject to arrest, prosecution, or the imposition of any sentence or penalty for the delivery, possession with intent to deliver, or manufacture of any item that meets the definition of drug paraphernalia, as defined by Section 481.002, if that item is delivered, possessed with intent to deliver, or manufactured for the sole purpose of providing that item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for whom authorized medical use is prescribed under Chapter 169,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dispensing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487.028.</w:t>
      </w:r>
      <w:r>
        <w:rPr>
          <w:u w:val="single"/>
        </w:rPr>
        <w:t xml:space="preserve"> </w:t>
      </w:r>
      <w:r>
        <w:rPr>
          <w:u w:val="single"/>
        </w:rPr>
        <w:t xml:space="preserve"> </w:t>
      </w:r>
      <w:r>
        <w:rPr>
          <w:u w:val="single"/>
        </w:rPr>
        <w:t xml:space="preserve">PROHIBITED DISCIPLINARY ACTION AGAINST STUDENT PATIENTS AND  SCHOOL HEALTH CARE PROFESSIONALS.  (a) Notwithstanding any other law, a student for whom low-THC cannabis is prescribed under Chapter 169, Occupations Code, may not be subject to suspension, expulsion, placement in a disciplinary alternative education program, or any other form of discipline solely because the student possessed, used, or was prescribed low-THC cannabis.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school health care professional assisting a student described by Subsection (a) in the administration of low-THC cannabis may not be subject to any disciplinary action solely because of the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the administration of a drug testing or prescription drug policy or a drug test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