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87R9920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3151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reduce the funding or personnel allocated for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